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Scottish Widows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69 Morrison Street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Edinburgh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EH3 lHL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/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</w:t>
      </w:r>
      <w:r w:rsidDel="00000000" w:rsidR="00000000" w:rsidRPr="00000000">
        <w:rPr>
          <w:b w:val="1"/>
          <w:rtl w:val="0"/>
        </w:rPr>
        <w:t xml:space="preserve"> Philip Budd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rtl w:val="0"/>
        </w:rPr>
        <w:t xml:space="preserve">C03EDE9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</w:t>
      </w:r>
      <w:r w:rsidDel="00000000" w:rsidR="00000000" w:rsidRPr="00000000">
        <w:rPr>
          <w:rtl w:val="0"/>
        </w:rPr>
        <w:t xml:space="preserve">Philip Budd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his pension out to a SSAS called ‘Budd Family Pension Scheme’, together with the following documents: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&amp; 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Mar-Jun 2023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P60 2022 - 2023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Bank Statement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</w:t>
      </w:r>
      <w:r w:rsidDel="00000000" w:rsidR="00000000" w:rsidRPr="00000000">
        <w:rPr>
          <w:rtl w:val="0"/>
        </w:rPr>
        <w:t xml:space="preserve">Philip Budd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624779788" name="image3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6247797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6247797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7jMvPL2tP8wbTCVhElx/xNOQA==">CgMxLjA4AHIhMUY3LVg1U1ZOa2I1dmpJVC1QSE5CNDJid0lTNkhUdUdD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2023-09-25T11:49:00Z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