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Harry Francis Bannard Smith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Manor Barn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Manor Lane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Whilton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Daventry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NN11 2UH</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Harry Francis Bannard Smith</w:t>
        <w:br w:type="textWrapping"/>
        <w:t xml:space="preserve"> </w:t>
      </w:r>
      <w:r w:rsidDel="00000000" w:rsidR="00000000" w:rsidRPr="00000000">
        <w:rPr>
          <w:rFonts w:ascii="Arial" w:cs="Arial" w:eastAsia="Arial" w:hAnsi="Arial"/>
          <w:color w:val="000000"/>
          <w:rtl w:val="0"/>
        </w:rPr>
        <w:br w:type="textWrapping"/>
        <w:br w:type="textWrapping"/>
        <w:t xml:space="preserve">Date:</w:t>
        <w:br w:type="textWrapping"/>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Harry, </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r w:rsidDel="00000000" w:rsidR="00000000" w:rsidRPr="00000000">
        <w:rPr>
          <w:rFonts w:ascii="Arial" w:cs="Arial" w:eastAsia="Arial" w:hAnsi="Arial"/>
          <w:b w:val="1"/>
          <w:rtl w:val="0"/>
        </w:rPr>
        <w:t xml:space="preserve">Cannes 2003 ORBS</w:t>
      </w:r>
      <w:r w:rsidDel="00000000" w:rsidR="00000000" w:rsidRPr="00000000">
        <w:rPr>
          <w:rFonts w:ascii="Arial" w:cs="Arial" w:eastAsia="Arial" w:hAnsi="Arial"/>
          <w:b w:val="1"/>
          <w:color w:val="000000"/>
          <w:rtl w:val="0"/>
        </w:rPr>
        <w:t xml:space="preserve"> ("the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XdCe2VhoEjKPJYds058MwkiSmw==">AMUW2mXRHoN9f3mlfqKyZzw/myQ71eToA09TrulNx0hJdi3Kq+DCGKvxXls7GZW8UYMDchnA29PMrTMr0QkSVVWnq1S4UYDFcioeKnnTKlTMiNrz6SDoiweAwIECCeukMB8I5zZhw9uc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2021-03-01T16:16:00Z</dcterms:created>
  <dc:creator>Shelly</dc:creator>
</cp:coreProperties>
</file>