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9" w:rsidRPr="00F12179" w:rsidRDefault="000109BA" w:rsidP="00F12179">
      <w:pPr>
        <w:rPr>
          <w:rFonts w:cs="Arial"/>
          <w:b/>
        </w:rPr>
      </w:pPr>
      <w:r>
        <w:rPr>
          <w:rFonts w:cs="Arial"/>
          <w:b/>
        </w:rPr>
        <w:t xml:space="preserve">Company number </w:t>
      </w:r>
      <w:r w:rsidR="001407AE">
        <w:rPr>
          <w:rFonts w:cs="Arial"/>
          <w:b/>
        </w:rPr>
        <w:t>08733364</w:t>
      </w:r>
    </w:p>
    <w:p w:rsidR="00F12179" w:rsidRPr="00F12179" w:rsidRDefault="001407AE" w:rsidP="00F12179">
      <w:pPr>
        <w:jc w:val="center"/>
        <w:rPr>
          <w:rFonts w:cs="Arial"/>
          <w:b/>
        </w:rPr>
      </w:pPr>
      <w:r>
        <w:rPr>
          <w:rFonts w:cs="Arial"/>
          <w:b/>
        </w:rPr>
        <w:t xml:space="preserve">G8 (UK) Limited </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1407AE">
        <w:rPr>
          <w:rFonts w:cs="Arial"/>
          <w:b/>
        </w:rPr>
        <w:t>04/12/2017</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t>
      </w:r>
      <w:proofErr w:type="gramStart"/>
      <w:r>
        <w:t>whether or not</w:t>
      </w:r>
      <w:proofErr w:type="gramEnd"/>
      <w:r>
        <w:t xml:space="preserve">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lastRenderedPageBreak/>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w:t>
      </w:r>
      <w:proofErr w:type="gramStart"/>
      <w:r w:rsidR="005C5884" w:rsidRPr="005C5884">
        <w:t>amount</w:t>
      </w:r>
      <w:proofErr w:type="gramEnd"/>
      <w:r w:rsidR="005C5884" w:rsidRPr="005C5884">
        <w:t xml:space="preserve">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lastRenderedPageBreak/>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70"/>
    <w:rsid w:val="00007EB8"/>
    <w:rsid w:val="000109BA"/>
    <w:rsid w:val="0003265D"/>
    <w:rsid w:val="000510D2"/>
    <w:rsid w:val="0010638B"/>
    <w:rsid w:val="00120BA6"/>
    <w:rsid w:val="00135026"/>
    <w:rsid w:val="001407AE"/>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4B68"/>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FF27-41AD-4239-9FA9-7BF59CC9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Adam Holmes</cp:lastModifiedBy>
  <cp:revision>2</cp:revision>
  <cp:lastPrinted>2015-04-28T15:34:00Z</cp:lastPrinted>
  <dcterms:created xsi:type="dcterms:W3CDTF">2017-12-04T10:16:00Z</dcterms:created>
  <dcterms:modified xsi:type="dcterms:W3CDTF">2017-12-04T10:16:00Z</dcterms:modified>
</cp:coreProperties>
</file>