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Cox Woodstock Limited Executive Pension Scheme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"Scheme")</w:t>
        <w:br w:type="textWrapping"/>
      </w:r>
    </w:p>
    <w:p w:rsidR="00000000" w:rsidDel="00000000" w:rsidP="00000000" w:rsidRDefault="00000000" w:rsidRPr="00000000" w14:paraId="00000003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_____________________</w:t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 is desirous to wind up the Scheme given that the assets no longer have a cash surrender or equivalent value. . </w:t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provisions of the Scheme, the Trustee of the Scheme have resolved that:</w:t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C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E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Gary Freeman 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ugzxv9bqtCjXvTvSwXgYtxuBA==">CgMxLjAyCGguZ2pkZ3hzOAByITF3Q2llckhhTWRuSFlpSkRialhKNVliNnZKUHNoYkJldA==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2024-08-01T13:06:00Z</dcterms:created>
</cp:coreProperties>
</file>