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8" w:rsidRPr="008A33E8" w:rsidRDefault="008A33E8" w:rsidP="00454A96">
      <w:pPr>
        <w:rPr>
          <w:rFonts w:ascii="Arial" w:hAnsi="Arial" w:cs="Arial"/>
          <w:color w:val="222222"/>
          <w:sz w:val="23"/>
          <w:szCs w:val="23"/>
          <w:shd w:val="clear" w:color="auto" w:fill="FFFFFF"/>
        </w:rPr>
      </w:pPr>
      <w:r w:rsidRPr="008A33E8">
        <w:rPr>
          <w:rFonts w:ascii="Arial" w:hAnsi="Arial" w:cs="Arial"/>
          <w:color w:val="222222"/>
          <w:sz w:val="23"/>
          <w:szCs w:val="23"/>
          <w:shd w:val="clear" w:color="auto" w:fill="FFFFFF"/>
        </w:rPr>
        <w:t>Vince Walsh</w:t>
      </w:r>
    </w:p>
    <w:p w:rsidR="008A33E8" w:rsidRPr="008A33E8" w:rsidRDefault="008A33E8" w:rsidP="008A33E8">
      <w:pPr>
        <w:shd w:val="clear" w:color="auto" w:fill="FFFFFF"/>
        <w:spacing w:line="238" w:lineRule="atLeast"/>
        <w:textAlignment w:val="baseline"/>
        <w:rPr>
          <w:rFonts w:ascii="Arial" w:eastAsia="Times New Roman" w:hAnsi="Arial" w:cs="Arial"/>
          <w:color w:val="0B0C0C"/>
          <w:sz w:val="23"/>
          <w:szCs w:val="23"/>
          <w:lang w:val="en-GB" w:eastAsia="en-GB"/>
        </w:rPr>
      </w:pPr>
      <w:r w:rsidRPr="008A33E8">
        <w:rPr>
          <w:rFonts w:ascii="Arial" w:eastAsia="Times New Roman" w:hAnsi="Arial" w:cs="Arial"/>
          <w:color w:val="0B0C0C"/>
          <w:sz w:val="23"/>
          <w:szCs w:val="23"/>
          <w:lang w:val="en-GB" w:eastAsia="en-GB"/>
        </w:rPr>
        <w:t>HM Revenue and Customs - Pension Schemes Services</w:t>
      </w:r>
    </w:p>
    <w:p w:rsidR="008A33E8" w:rsidRPr="008A33E8" w:rsidRDefault="008A33E8" w:rsidP="008A33E8">
      <w:pPr>
        <w:shd w:val="clear" w:color="auto" w:fill="FFFFFF"/>
        <w:spacing w:line="238" w:lineRule="atLeast"/>
        <w:textAlignment w:val="baseline"/>
        <w:rPr>
          <w:rFonts w:ascii="Arial" w:eastAsia="Times New Roman" w:hAnsi="Arial" w:cs="Arial"/>
          <w:color w:val="0B0C0C"/>
          <w:sz w:val="23"/>
          <w:szCs w:val="23"/>
          <w:lang w:val="en-GB" w:eastAsia="en-GB"/>
        </w:rPr>
      </w:pPr>
      <w:r w:rsidRPr="008A33E8">
        <w:rPr>
          <w:rFonts w:ascii="Arial" w:eastAsia="Times New Roman" w:hAnsi="Arial" w:cs="Arial"/>
          <w:color w:val="0B0C0C"/>
          <w:sz w:val="23"/>
          <w:szCs w:val="23"/>
          <w:lang w:val="en-GB" w:eastAsia="en-GB"/>
        </w:rPr>
        <w:t>Fitzroy House</w:t>
      </w:r>
    </w:p>
    <w:p w:rsidR="008A33E8" w:rsidRPr="008A33E8" w:rsidRDefault="008A33E8" w:rsidP="008A33E8">
      <w:pPr>
        <w:shd w:val="clear" w:color="auto" w:fill="FFFFFF"/>
        <w:spacing w:line="238" w:lineRule="atLeast"/>
        <w:textAlignment w:val="baseline"/>
        <w:rPr>
          <w:rFonts w:ascii="Arial" w:eastAsia="Times New Roman" w:hAnsi="Arial" w:cs="Arial"/>
          <w:color w:val="0B0C0C"/>
          <w:sz w:val="23"/>
          <w:szCs w:val="23"/>
          <w:lang w:val="en-GB" w:eastAsia="en-GB"/>
        </w:rPr>
      </w:pPr>
      <w:r w:rsidRPr="008A33E8">
        <w:rPr>
          <w:rFonts w:ascii="Arial" w:eastAsia="Times New Roman" w:hAnsi="Arial" w:cs="Arial"/>
          <w:color w:val="0B0C0C"/>
          <w:sz w:val="23"/>
          <w:szCs w:val="23"/>
          <w:lang w:val="en-GB" w:eastAsia="en-GB"/>
        </w:rPr>
        <w:t>Castle Meadow Road</w:t>
      </w:r>
    </w:p>
    <w:p w:rsidR="008A33E8" w:rsidRPr="008A33E8" w:rsidRDefault="008A33E8" w:rsidP="008A33E8">
      <w:pPr>
        <w:shd w:val="clear" w:color="auto" w:fill="FFFFFF"/>
        <w:spacing w:line="238" w:lineRule="atLeast"/>
        <w:textAlignment w:val="baseline"/>
        <w:rPr>
          <w:rFonts w:ascii="Arial" w:eastAsia="Times New Roman" w:hAnsi="Arial" w:cs="Arial"/>
          <w:color w:val="0B0C0C"/>
          <w:sz w:val="23"/>
          <w:szCs w:val="23"/>
          <w:lang w:val="en-GB" w:eastAsia="en-GB"/>
        </w:rPr>
      </w:pPr>
      <w:r w:rsidRPr="008A33E8">
        <w:rPr>
          <w:rFonts w:ascii="Arial" w:eastAsia="Times New Roman" w:hAnsi="Arial" w:cs="Arial"/>
          <w:color w:val="0B0C0C"/>
          <w:sz w:val="23"/>
          <w:szCs w:val="23"/>
          <w:lang w:val="en-GB" w:eastAsia="en-GB"/>
        </w:rPr>
        <w:t>Nottingham</w:t>
      </w:r>
    </w:p>
    <w:p w:rsidR="008A33E8" w:rsidRPr="008A33E8" w:rsidRDefault="008A33E8" w:rsidP="008A33E8">
      <w:pPr>
        <w:shd w:val="clear" w:color="auto" w:fill="FFFFFF"/>
        <w:spacing w:line="238" w:lineRule="atLeast"/>
        <w:textAlignment w:val="baseline"/>
        <w:rPr>
          <w:rFonts w:ascii="Arial" w:eastAsia="Times New Roman" w:hAnsi="Arial" w:cs="Arial"/>
          <w:color w:val="0B0C0C"/>
          <w:sz w:val="23"/>
          <w:szCs w:val="23"/>
          <w:lang w:val="en-GB" w:eastAsia="en-GB"/>
        </w:rPr>
      </w:pPr>
      <w:r w:rsidRPr="008A33E8">
        <w:rPr>
          <w:rFonts w:ascii="Arial" w:eastAsia="Times New Roman" w:hAnsi="Arial" w:cs="Arial"/>
          <w:color w:val="0B0C0C"/>
          <w:sz w:val="23"/>
          <w:szCs w:val="23"/>
          <w:lang w:val="en-GB" w:eastAsia="en-GB"/>
        </w:rPr>
        <w:t>NG2 1BD</w:t>
      </w:r>
    </w:p>
    <w:p w:rsidR="008A33E8" w:rsidRPr="008A33E8" w:rsidRDefault="008A33E8" w:rsidP="00454A96">
      <w:pPr>
        <w:rPr>
          <w:rFonts w:ascii="Arial" w:hAnsi="Arial" w:cs="Arial"/>
          <w:color w:val="222222"/>
          <w:sz w:val="23"/>
          <w:szCs w:val="23"/>
          <w:shd w:val="clear" w:color="auto" w:fill="FFFFFF"/>
        </w:rPr>
      </w:pPr>
    </w:p>
    <w:p w:rsidR="00111CB9" w:rsidRPr="008A33E8" w:rsidRDefault="00111CB9" w:rsidP="00454A96">
      <w:pPr>
        <w:rPr>
          <w:rFonts w:ascii="Arial" w:hAnsi="Arial" w:cs="Arial"/>
          <w:sz w:val="23"/>
          <w:szCs w:val="23"/>
        </w:rPr>
      </w:pPr>
    </w:p>
    <w:p w:rsidR="00350C69" w:rsidRPr="008A33E8" w:rsidRDefault="008A33E8" w:rsidP="00111CB9">
      <w:pPr>
        <w:jc w:val="right"/>
        <w:rPr>
          <w:rFonts w:ascii="Arial" w:hAnsi="Arial" w:cs="Arial"/>
          <w:sz w:val="23"/>
          <w:szCs w:val="23"/>
        </w:rPr>
      </w:pPr>
      <w:r w:rsidRPr="008A33E8">
        <w:rPr>
          <w:rFonts w:ascii="Arial" w:hAnsi="Arial" w:cs="Arial"/>
          <w:sz w:val="23"/>
          <w:szCs w:val="23"/>
        </w:rPr>
        <w:t>19 April 2016</w:t>
      </w:r>
    </w:p>
    <w:p w:rsidR="00350C69" w:rsidRPr="008A33E8" w:rsidRDefault="008A33E8" w:rsidP="00454A96">
      <w:pPr>
        <w:rPr>
          <w:rFonts w:ascii="Arial" w:hAnsi="Arial" w:cs="Arial"/>
          <w:sz w:val="23"/>
          <w:szCs w:val="23"/>
        </w:rPr>
      </w:pPr>
      <w:r w:rsidRPr="008A33E8">
        <w:rPr>
          <w:rFonts w:ascii="Arial" w:hAnsi="Arial" w:cs="Arial"/>
          <w:sz w:val="23"/>
          <w:szCs w:val="23"/>
        </w:rPr>
        <w:t>Email and post: vince.walsh@hmrc.gsi.gov.uk</w:t>
      </w:r>
    </w:p>
    <w:p w:rsidR="00111CB9" w:rsidRPr="008A33E8" w:rsidRDefault="00111CB9" w:rsidP="00454A96">
      <w:pPr>
        <w:rPr>
          <w:rFonts w:ascii="Arial" w:hAnsi="Arial" w:cs="Arial"/>
          <w:b/>
          <w:sz w:val="23"/>
          <w:szCs w:val="23"/>
        </w:rPr>
      </w:pPr>
    </w:p>
    <w:p w:rsidR="00350C69" w:rsidRPr="008A33E8" w:rsidRDefault="00350C69" w:rsidP="00454A96">
      <w:pPr>
        <w:rPr>
          <w:rFonts w:ascii="Arial" w:hAnsi="Arial" w:cs="Arial"/>
          <w:sz w:val="23"/>
          <w:szCs w:val="23"/>
        </w:rPr>
      </w:pPr>
      <w:r w:rsidRPr="008A33E8">
        <w:rPr>
          <w:rFonts w:ascii="Arial" w:hAnsi="Arial" w:cs="Arial"/>
          <w:sz w:val="23"/>
          <w:szCs w:val="23"/>
        </w:rPr>
        <w:t xml:space="preserve">Dear </w:t>
      </w:r>
      <w:r w:rsidR="008A33E8" w:rsidRPr="008A33E8">
        <w:rPr>
          <w:rFonts w:ascii="Arial" w:hAnsi="Arial" w:cs="Arial"/>
          <w:sz w:val="23"/>
          <w:szCs w:val="23"/>
        </w:rPr>
        <w:t>Vince</w:t>
      </w:r>
    </w:p>
    <w:p w:rsidR="00350C69" w:rsidRPr="008A33E8" w:rsidRDefault="00350C69" w:rsidP="00454A96">
      <w:pPr>
        <w:rPr>
          <w:rFonts w:ascii="Arial" w:hAnsi="Arial" w:cs="Arial"/>
          <w:sz w:val="23"/>
          <w:szCs w:val="23"/>
        </w:rPr>
      </w:pPr>
    </w:p>
    <w:p w:rsidR="008A33E8" w:rsidRPr="00E26B39" w:rsidRDefault="008A33E8" w:rsidP="008A33E8">
      <w:pPr>
        <w:shd w:val="clear" w:color="auto" w:fill="FFFFFF"/>
        <w:rPr>
          <w:rFonts w:ascii="Arial" w:eastAsia="Times New Roman" w:hAnsi="Arial" w:cs="Arial"/>
          <w:color w:val="222222"/>
          <w:sz w:val="23"/>
          <w:szCs w:val="23"/>
          <w:lang w:eastAsia="en-GB"/>
        </w:rPr>
      </w:pPr>
      <w:r w:rsidRPr="008A33E8">
        <w:rPr>
          <w:rFonts w:ascii="Arial" w:eastAsia="Times New Roman" w:hAnsi="Arial" w:cs="Arial"/>
          <w:b/>
          <w:bCs/>
          <w:color w:val="222222"/>
          <w:sz w:val="23"/>
          <w:szCs w:val="23"/>
          <w:u w:val="single"/>
          <w:lang w:eastAsia="en-GB"/>
        </w:rPr>
        <w:t>HMRC REPORTING</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8A33E8">
        <w:rPr>
          <w:rFonts w:ascii="Arial" w:eastAsia="Times New Roman" w:hAnsi="Arial" w:cs="Arial"/>
          <w:color w:val="222222"/>
          <w:sz w:val="23"/>
          <w:szCs w:val="23"/>
          <w:lang w:eastAsia="en-GB"/>
        </w:rPr>
        <w:t xml:space="preserve">I trust that you are keeping well. We have been asked by a board of trustees to obtain clarification in respect of transaction reporting for a </w:t>
      </w:r>
      <w:r w:rsidRPr="00E26B39">
        <w:rPr>
          <w:rFonts w:ascii="Arial" w:eastAsia="Times New Roman" w:hAnsi="Arial" w:cs="Arial"/>
          <w:color w:val="222222"/>
          <w:sz w:val="23"/>
          <w:szCs w:val="23"/>
          <w:lang w:eastAsia="en-GB"/>
        </w:rPr>
        <w:t>Small Self Administered Scheme (the “</w:t>
      </w:r>
      <w:r w:rsidRPr="00E26B39">
        <w:rPr>
          <w:rFonts w:ascii="Arial" w:eastAsia="Times New Roman" w:hAnsi="Arial" w:cs="Arial"/>
          <w:b/>
          <w:bCs/>
          <w:color w:val="222222"/>
          <w:sz w:val="23"/>
          <w:szCs w:val="23"/>
          <w:lang w:eastAsia="en-GB"/>
        </w:rPr>
        <w:t>SSAS</w:t>
      </w:r>
      <w:r w:rsidRPr="00E26B39">
        <w:rPr>
          <w:rFonts w:ascii="Arial" w:eastAsia="Times New Roman" w:hAnsi="Arial" w:cs="Arial"/>
          <w:color w:val="222222"/>
          <w:sz w:val="23"/>
          <w:szCs w:val="23"/>
          <w:lang w:eastAsia="en-GB"/>
        </w:rPr>
        <w:t>”), which has appointed an FCA regulated asset manager to act as its investment manager (the “</w:t>
      </w:r>
      <w:r w:rsidRPr="00E26B39">
        <w:rPr>
          <w:rFonts w:ascii="Arial" w:eastAsia="Times New Roman" w:hAnsi="Arial" w:cs="Arial"/>
          <w:b/>
          <w:bCs/>
          <w:color w:val="222222"/>
          <w:sz w:val="23"/>
          <w:szCs w:val="23"/>
          <w:lang w:eastAsia="en-GB"/>
        </w:rPr>
        <w:t>IM</w:t>
      </w:r>
      <w:r w:rsidRPr="00E26B39">
        <w:rPr>
          <w:rFonts w:ascii="Arial" w:eastAsia="Times New Roman" w:hAnsi="Arial" w:cs="Arial"/>
          <w:color w:val="222222"/>
          <w:sz w:val="23"/>
          <w:szCs w:val="23"/>
          <w:lang w:eastAsia="en-GB"/>
        </w:rPr>
        <w:t>”).</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xml:space="preserve">We understand that the IM will </w:t>
      </w:r>
      <w:proofErr w:type="spellStart"/>
      <w:r w:rsidRPr="00E26B39">
        <w:rPr>
          <w:rFonts w:ascii="Arial" w:eastAsia="Times New Roman" w:hAnsi="Arial" w:cs="Arial"/>
          <w:color w:val="222222"/>
          <w:sz w:val="23"/>
          <w:szCs w:val="23"/>
          <w:lang w:eastAsia="en-GB"/>
        </w:rPr>
        <w:t>utilise</w:t>
      </w:r>
      <w:proofErr w:type="spellEnd"/>
      <w:r w:rsidRPr="00E26B39">
        <w:rPr>
          <w:rFonts w:ascii="Arial" w:eastAsia="Times New Roman" w:hAnsi="Arial" w:cs="Arial"/>
          <w:color w:val="222222"/>
          <w:sz w:val="23"/>
          <w:szCs w:val="23"/>
          <w:lang w:eastAsia="en-GB"/>
        </w:rPr>
        <w:t xml:space="preserve"> derivative strategies to generate cash to leverage the amount of the initial capital invested by the SSAS with the IM. These derivative strategies will carry a degree of market risk.</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This leveraged amount will be used by the IM to enter into an investment strategy</w:t>
      </w:r>
      <w:r w:rsidRPr="008A33E8">
        <w:rPr>
          <w:rFonts w:ascii="Arial" w:eastAsia="Times New Roman" w:hAnsi="Arial" w:cs="Arial"/>
          <w:color w:val="222222"/>
          <w:sz w:val="23"/>
          <w:szCs w:val="23"/>
          <w:lang w:eastAsia="en-GB"/>
        </w:rPr>
        <w:t xml:space="preserve">, involving the acquisition of non-UK </w:t>
      </w:r>
      <w:r w:rsidR="00AD1D13">
        <w:rPr>
          <w:rFonts w:ascii="Arial" w:eastAsia="Times New Roman" w:hAnsi="Arial" w:cs="Arial"/>
          <w:color w:val="222222"/>
          <w:sz w:val="23"/>
          <w:szCs w:val="23"/>
          <w:lang w:eastAsia="en-GB"/>
        </w:rPr>
        <w:t xml:space="preserve">dividend paying </w:t>
      </w:r>
      <w:r w:rsidRPr="008A33E8">
        <w:rPr>
          <w:rFonts w:ascii="Arial" w:eastAsia="Times New Roman" w:hAnsi="Arial" w:cs="Arial"/>
          <w:color w:val="222222"/>
          <w:sz w:val="23"/>
          <w:szCs w:val="23"/>
          <w:lang w:eastAsia="en-GB"/>
        </w:rPr>
        <w:t>equitie</w:t>
      </w:r>
      <w:r w:rsidRPr="00E26B39">
        <w:rPr>
          <w:rFonts w:ascii="Arial" w:eastAsia="Times New Roman" w:hAnsi="Arial" w:cs="Arial"/>
          <w:color w:val="222222"/>
          <w:sz w:val="23"/>
          <w:szCs w:val="23"/>
          <w:lang w:eastAsia="en-GB"/>
        </w:rPr>
        <w:t xml:space="preserve">s together with corresponding hedges in respect of market risk. Given the small margins associated with the strategy, the use of leverage through derivatives is intended to improve the investment returns for the SSAS from the IM’s </w:t>
      </w:r>
      <w:r w:rsidR="00AD1D13">
        <w:rPr>
          <w:rFonts w:ascii="Arial" w:eastAsia="Times New Roman" w:hAnsi="Arial" w:cs="Arial"/>
          <w:color w:val="222222"/>
          <w:sz w:val="23"/>
          <w:szCs w:val="23"/>
          <w:lang w:eastAsia="en-GB"/>
        </w:rPr>
        <w:t xml:space="preserve">investment </w:t>
      </w:r>
      <w:r w:rsidRPr="00E26B39">
        <w:rPr>
          <w:rFonts w:ascii="Arial" w:eastAsia="Times New Roman" w:hAnsi="Arial" w:cs="Arial"/>
          <w:color w:val="222222"/>
          <w:sz w:val="23"/>
          <w:szCs w:val="23"/>
          <w:lang w:eastAsia="en-GB"/>
        </w:rPr>
        <w:t>strategy.</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The net investment return arising to the SSAS from the IM’s strategy is likely to be less than £100,000 per annum.</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b/>
          <w:bCs/>
          <w:color w:val="222222"/>
          <w:sz w:val="23"/>
          <w:szCs w:val="23"/>
          <w:u w:val="single"/>
          <w:lang w:eastAsia="en-GB"/>
        </w:rPr>
        <w:t>Questions</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In submitting the APSS301 to HMRC, we ha</w:t>
      </w:r>
      <w:r w:rsidRPr="008A33E8">
        <w:rPr>
          <w:rFonts w:ascii="Arial" w:eastAsia="Times New Roman" w:hAnsi="Arial" w:cs="Arial"/>
          <w:color w:val="222222"/>
          <w:sz w:val="23"/>
          <w:szCs w:val="23"/>
          <w:lang w:eastAsia="en-GB"/>
        </w:rPr>
        <w:t>ve</w:t>
      </w:r>
      <w:r w:rsidRPr="00E26B39">
        <w:rPr>
          <w:rFonts w:ascii="Arial" w:eastAsia="Times New Roman" w:hAnsi="Arial" w:cs="Arial"/>
          <w:color w:val="222222"/>
          <w:sz w:val="23"/>
          <w:szCs w:val="23"/>
          <w:lang w:eastAsia="en-GB"/>
        </w:rPr>
        <w:t xml:space="preserve"> the following questions:</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Pr="00E26B39" w:rsidRDefault="008A33E8" w:rsidP="008A33E8">
      <w:pPr>
        <w:numPr>
          <w:ilvl w:val="0"/>
          <w:numId w:val="8"/>
        </w:numPr>
        <w:shd w:val="clear" w:color="auto" w:fill="FFFFFF"/>
        <w:ind w:left="945"/>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Does the leverage obtained by way of derivatives need to be disclosed in Box 4.6 of the APSS301 as a “borrowing”?</w:t>
      </w:r>
    </w:p>
    <w:p w:rsidR="008A33E8" w:rsidRPr="00E26B39" w:rsidRDefault="008A33E8" w:rsidP="008A33E8">
      <w:pPr>
        <w:shd w:val="clear" w:color="auto" w:fill="FFFFFF"/>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w:t>
      </w:r>
    </w:p>
    <w:p w:rsidR="008A33E8" w:rsidRDefault="008A33E8" w:rsidP="008A33E8">
      <w:pPr>
        <w:numPr>
          <w:ilvl w:val="0"/>
          <w:numId w:val="9"/>
        </w:numPr>
        <w:shd w:val="clear" w:color="auto" w:fill="FFFFFF"/>
        <w:ind w:left="945"/>
        <w:rPr>
          <w:rFonts w:ascii="Arial" w:eastAsia="Times New Roman" w:hAnsi="Arial" w:cs="Arial"/>
          <w:color w:val="222222"/>
          <w:sz w:val="23"/>
          <w:szCs w:val="23"/>
          <w:lang w:eastAsia="en-GB"/>
        </w:rPr>
      </w:pPr>
      <w:r w:rsidRPr="00E26B39">
        <w:rPr>
          <w:rFonts w:ascii="Arial" w:eastAsia="Times New Roman" w:hAnsi="Arial" w:cs="Arial"/>
          <w:color w:val="222222"/>
          <w:sz w:val="23"/>
          <w:szCs w:val="23"/>
          <w:lang w:eastAsia="en-GB"/>
        </w:rPr>
        <w:t xml:space="preserve">Do Boxes 12.3 and 12.6 need to be completed on a “gross” basis (i.e. </w:t>
      </w:r>
      <w:r w:rsidR="00AD1D13">
        <w:rPr>
          <w:rFonts w:ascii="Arial" w:eastAsia="Times New Roman" w:hAnsi="Arial" w:cs="Arial"/>
          <w:color w:val="222222"/>
          <w:sz w:val="23"/>
          <w:szCs w:val="23"/>
          <w:lang w:eastAsia="en-GB"/>
        </w:rPr>
        <w:t xml:space="preserve">gross </w:t>
      </w:r>
      <w:r w:rsidR="00487EFA">
        <w:rPr>
          <w:rFonts w:ascii="Arial" w:eastAsia="Times New Roman" w:hAnsi="Arial" w:cs="Arial"/>
          <w:color w:val="222222"/>
          <w:sz w:val="23"/>
          <w:szCs w:val="23"/>
          <w:lang w:eastAsia="en-GB"/>
        </w:rPr>
        <w:t xml:space="preserve">acquisition </w:t>
      </w:r>
      <w:r w:rsidR="00AD1D13">
        <w:rPr>
          <w:rFonts w:ascii="Arial" w:eastAsia="Times New Roman" w:hAnsi="Arial" w:cs="Arial"/>
          <w:color w:val="222222"/>
          <w:sz w:val="23"/>
          <w:szCs w:val="23"/>
          <w:lang w:eastAsia="en-GB"/>
        </w:rPr>
        <w:t xml:space="preserve">cost and gross disposal proceeds of </w:t>
      </w:r>
      <w:r w:rsidRPr="00E26B39">
        <w:rPr>
          <w:rFonts w:ascii="Arial" w:eastAsia="Times New Roman" w:hAnsi="Arial" w:cs="Arial"/>
          <w:color w:val="222222"/>
          <w:sz w:val="23"/>
          <w:szCs w:val="23"/>
          <w:lang w:eastAsia="en-GB"/>
        </w:rPr>
        <w:t xml:space="preserve">each and every underlying stock acquisition and disposal to be reported) or on a “net” basis (i.e. the net </w:t>
      </w:r>
      <w:r w:rsidR="00487EFA">
        <w:rPr>
          <w:rFonts w:ascii="Arial" w:eastAsia="Times New Roman" w:hAnsi="Arial" w:cs="Arial"/>
          <w:color w:val="222222"/>
          <w:sz w:val="23"/>
          <w:szCs w:val="23"/>
          <w:lang w:eastAsia="en-GB"/>
        </w:rPr>
        <w:t xml:space="preserve">acquisition </w:t>
      </w:r>
      <w:r w:rsidR="00AD1D13">
        <w:rPr>
          <w:rFonts w:ascii="Arial" w:eastAsia="Times New Roman" w:hAnsi="Arial" w:cs="Arial"/>
          <w:color w:val="222222"/>
          <w:sz w:val="23"/>
          <w:szCs w:val="23"/>
          <w:lang w:eastAsia="en-GB"/>
        </w:rPr>
        <w:t>cost and net disposal proceeds of assets acquired,</w:t>
      </w:r>
      <w:r w:rsidR="00487EFA">
        <w:rPr>
          <w:rFonts w:ascii="Arial" w:eastAsia="Times New Roman" w:hAnsi="Arial" w:cs="Arial"/>
          <w:color w:val="222222"/>
          <w:sz w:val="23"/>
          <w:szCs w:val="23"/>
          <w:lang w:eastAsia="en-GB"/>
        </w:rPr>
        <w:t xml:space="preserve"> after</w:t>
      </w:r>
      <w:r w:rsidR="00AD1D13">
        <w:rPr>
          <w:rFonts w:ascii="Arial" w:eastAsia="Times New Roman" w:hAnsi="Arial" w:cs="Arial"/>
          <w:color w:val="222222"/>
          <w:sz w:val="23"/>
          <w:szCs w:val="23"/>
          <w:lang w:eastAsia="en-GB"/>
        </w:rPr>
        <w:t xml:space="preserve"> any derivative liabilities</w:t>
      </w:r>
      <w:r w:rsidRPr="00E26B39">
        <w:rPr>
          <w:rFonts w:ascii="Arial" w:eastAsia="Times New Roman" w:hAnsi="Arial" w:cs="Arial"/>
          <w:color w:val="222222"/>
          <w:sz w:val="23"/>
          <w:szCs w:val="23"/>
          <w:lang w:eastAsia="en-GB"/>
        </w:rPr>
        <w:t>).</w:t>
      </w:r>
    </w:p>
    <w:p w:rsidR="004E1E05" w:rsidRPr="004E1E05" w:rsidRDefault="004E1E05" w:rsidP="004E1E05">
      <w:pPr>
        <w:shd w:val="clear" w:color="auto" w:fill="FFFFFF"/>
        <w:spacing w:line="187" w:lineRule="atLeast"/>
        <w:rPr>
          <w:rFonts w:ascii="Arial" w:hAnsi="Arial" w:cs="Arial"/>
          <w:color w:val="212121"/>
          <w:sz w:val="23"/>
          <w:szCs w:val="23"/>
        </w:rPr>
      </w:pPr>
      <w:r>
        <w:rPr>
          <w:rFonts w:ascii="Arial" w:eastAsia="Times New Roman" w:hAnsi="Arial" w:cs="Arial"/>
          <w:sz w:val="23"/>
          <w:szCs w:val="23"/>
          <w:lang w:eastAsia="en-GB"/>
        </w:rPr>
        <w:lastRenderedPageBreak/>
        <w:t xml:space="preserve">3. </w:t>
      </w:r>
      <w:r>
        <w:rPr>
          <w:rFonts w:ascii="Arial" w:eastAsia="Times New Roman" w:hAnsi="Arial" w:cs="Arial"/>
          <w:sz w:val="23"/>
          <w:szCs w:val="23"/>
          <w:lang w:eastAsia="en-GB"/>
        </w:rPr>
        <w:tab/>
      </w:r>
      <w:r w:rsidRPr="004E1E05">
        <w:rPr>
          <w:rFonts w:ascii="Arial" w:eastAsia="Times New Roman" w:hAnsi="Arial" w:cs="Arial"/>
          <w:sz w:val="23"/>
          <w:szCs w:val="23"/>
          <w:lang w:eastAsia="en-GB"/>
        </w:rPr>
        <w:t xml:space="preserve">Do you have any comments to make in connection with </w:t>
      </w:r>
      <w:r w:rsidR="00DE2C0D">
        <w:rPr>
          <w:rFonts w:ascii="Arial" w:eastAsia="Times New Roman" w:hAnsi="Arial" w:cs="Arial"/>
          <w:sz w:val="23"/>
          <w:szCs w:val="23"/>
          <w:lang w:eastAsia="en-GB"/>
        </w:rPr>
        <w:t xml:space="preserve">this </w:t>
      </w:r>
      <w:r w:rsidRPr="004E1E05">
        <w:rPr>
          <w:rFonts w:ascii="Arial" w:eastAsia="Times New Roman" w:hAnsi="Arial" w:cs="Arial"/>
          <w:sz w:val="23"/>
          <w:szCs w:val="23"/>
          <w:lang w:eastAsia="en-GB"/>
        </w:rPr>
        <w:t xml:space="preserve">investment regulated </w:t>
      </w:r>
      <w:r w:rsidR="00DE2C0D">
        <w:rPr>
          <w:rFonts w:ascii="Arial" w:eastAsia="Times New Roman" w:hAnsi="Arial" w:cs="Arial"/>
          <w:sz w:val="23"/>
          <w:szCs w:val="23"/>
          <w:lang w:eastAsia="en-GB"/>
        </w:rPr>
        <w:tab/>
      </w:r>
      <w:r w:rsidRPr="004E1E05">
        <w:rPr>
          <w:rFonts w:ascii="Arial" w:eastAsia="Times New Roman" w:hAnsi="Arial" w:cs="Arial"/>
          <w:sz w:val="23"/>
          <w:szCs w:val="23"/>
          <w:lang w:eastAsia="en-GB"/>
        </w:rPr>
        <w:t xml:space="preserve">pension scheme entering into </w:t>
      </w:r>
      <w:r w:rsidRPr="004E1E05">
        <w:rPr>
          <w:rFonts w:ascii="Arial" w:hAnsi="Arial" w:cs="Arial"/>
          <w:sz w:val="23"/>
          <w:szCs w:val="23"/>
          <w:shd w:val="clear" w:color="auto" w:fill="FFFFFF"/>
        </w:rPr>
        <w:t xml:space="preserve">derivatives to raise cash to acquire non-UK dividend </w:t>
      </w:r>
      <w:r w:rsidR="00DE2C0D">
        <w:rPr>
          <w:rFonts w:ascii="Arial" w:hAnsi="Arial" w:cs="Arial"/>
          <w:sz w:val="23"/>
          <w:szCs w:val="23"/>
          <w:shd w:val="clear" w:color="auto" w:fill="FFFFFF"/>
        </w:rPr>
        <w:tab/>
      </w:r>
      <w:r w:rsidRPr="004E1E05">
        <w:rPr>
          <w:rFonts w:ascii="Arial" w:hAnsi="Arial" w:cs="Arial"/>
          <w:sz w:val="23"/>
          <w:szCs w:val="23"/>
          <w:shd w:val="clear" w:color="auto" w:fill="FFFFFF"/>
        </w:rPr>
        <w:t>paying equities and corresponding hedges</w:t>
      </w:r>
      <w:r w:rsidR="00AD1D13">
        <w:rPr>
          <w:rFonts w:ascii="Arial" w:hAnsi="Arial" w:cs="Arial"/>
          <w:sz w:val="23"/>
          <w:szCs w:val="23"/>
          <w:shd w:val="clear" w:color="auto" w:fill="FFFFFF"/>
        </w:rPr>
        <w:t>?</w:t>
      </w:r>
      <w:r w:rsidRPr="004E1E05">
        <w:rPr>
          <w:rFonts w:ascii="Arial" w:hAnsi="Arial" w:cs="Arial"/>
          <w:sz w:val="23"/>
          <w:szCs w:val="23"/>
          <w:shd w:val="clear" w:color="auto" w:fill="FFFFFF"/>
        </w:rPr>
        <w:t xml:space="preserve"> In particular the tax exemptions that </w:t>
      </w:r>
      <w:r w:rsidR="0044118C">
        <w:rPr>
          <w:rFonts w:ascii="Arial" w:hAnsi="Arial" w:cs="Arial"/>
          <w:sz w:val="23"/>
          <w:szCs w:val="23"/>
          <w:shd w:val="clear" w:color="auto" w:fill="FFFFFF"/>
        </w:rPr>
        <w:tab/>
      </w:r>
      <w:r w:rsidRPr="004E1E05">
        <w:rPr>
          <w:rFonts w:ascii="Arial" w:hAnsi="Arial" w:cs="Arial"/>
          <w:sz w:val="23"/>
          <w:szCs w:val="23"/>
          <w:shd w:val="clear" w:color="auto" w:fill="FFFFFF"/>
        </w:rPr>
        <w:t xml:space="preserve">apply </w:t>
      </w:r>
      <w:r w:rsidR="00DE2C0D">
        <w:rPr>
          <w:rFonts w:ascii="Arial" w:hAnsi="Arial" w:cs="Arial"/>
          <w:sz w:val="23"/>
          <w:szCs w:val="23"/>
          <w:shd w:val="clear" w:color="auto" w:fill="FFFFFF"/>
        </w:rPr>
        <w:tab/>
      </w:r>
      <w:r w:rsidRPr="004E1E05">
        <w:rPr>
          <w:rFonts w:ascii="Arial" w:hAnsi="Arial" w:cs="Arial"/>
          <w:sz w:val="23"/>
          <w:szCs w:val="23"/>
          <w:shd w:val="clear" w:color="auto" w:fill="FFFFFF"/>
        </w:rPr>
        <w:t xml:space="preserve">in respect of </w:t>
      </w:r>
      <w:r w:rsidRPr="004E1E05">
        <w:rPr>
          <w:rFonts w:ascii="Arial" w:hAnsi="Arial" w:cs="Arial"/>
          <w:color w:val="212121"/>
          <w:sz w:val="23"/>
          <w:szCs w:val="23"/>
        </w:rPr>
        <w:t xml:space="preserve">(a) income derived from investments or deposits held for the </w:t>
      </w:r>
      <w:r w:rsidR="0044118C">
        <w:rPr>
          <w:rFonts w:ascii="Arial" w:hAnsi="Arial" w:cs="Arial"/>
          <w:color w:val="212121"/>
          <w:sz w:val="23"/>
          <w:szCs w:val="23"/>
        </w:rPr>
        <w:tab/>
      </w:r>
      <w:r w:rsidRPr="004E1E05">
        <w:rPr>
          <w:rFonts w:ascii="Arial" w:hAnsi="Arial" w:cs="Arial"/>
          <w:color w:val="212121"/>
          <w:sz w:val="23"/>
          <w:szCs w:val="23"/>
        </w:rPr>
        <w:t xml:space="preserve">purposes of a registered pension scheme is exempt from income tax (section 186 of </w:t>
      </w:r>
      <w:r w:rsidR="0044118C">
        <w:rPr>
          <w:rFonts w:ascii="Arial" w:hAnsi="Arial" w:cs="Arial"/>
          <w:color w:val="212121"/>
          <w:sz w:val="23"/>
          <w:szCs w:val="23"/>
        </w:rPr>
        <w:tab/>
      </w:r>
      <w:r w:rsidRPr="004E1E05">
        <w:rPr>
          <w:rFonts w:ascii="Arial" w:hAnsi="Arial" w:cs="Arial"/>
          <w:color w:val="212121"/>
          <w:sz w:val="23"/>
          <w:szCs w:val="23"/>
        </w:rPr>
        <w:t>the Finance Act 2004);  (</w:t>
      </w:r>
      <w:r>
        <w:rPr>
          <w:rFonts w:ascii="Arial" w:hAnsi="Arial" w:cs="Arial"/>
          <w:color w:val="212121"/>
          <w:sz w:val="23"/>
          <w:szCs w:val="23"/>
        </w:rPr>
        <w:t>b</w:t>
      </w:r>
      <w:r w:rsidRPr="004E1E05">
        <w:rPr>
          <w:rFonts w:ascii="Arial" w:hAnsi="Arial" w:cs="Arial"/>
          <w:color w:val="212121"/>
          <w:sz w:val="23"/>
          <w:szCs w:val="23"/>
        </w:rPr>
        <w:t xml:space="preserve">) income from futures contracts and options contracts are </w:t>
      </w:r>
      <w:r w:rsidR="0044118C">
        <w:rPr>
          <w:rFonts w:ascii="Arial" w:hAnsi="Arial" w:cs="Arial"/>
          <w:color w:val="212121"/>
          <w:sz w:val="23"/>
          <w:szCs w:val="23"/>
        </w:rPr>
        <w:tab/>
      </w:r>
      <w:r w:rsidRPr="004E1E05">
        <w:rPr>
          <w:rFonts w:ascii="Arial" w:hAnsi="Arial" w:cs="Arial"/>
          <w:color w:val="212121"/>
          <w:sz w:val="23"/>
          <w:szCs w:val="23"/>
        </w:rPr>
        <w:t xml:space="preserve">deemed to all be from investments as is any income derived from transactions </w:t>
      </w:r>
      <w:r w:rsidR="0044118C">
        <w:rPr>
          <w:rFonts w:ascii="Arial" w:hAnsi="Arial" w:cs="Arial"/>
          <w:color w:val="212121"/>
          <w:sz w:val="23"/>
          <w:szCs w:val="23"/>
        </w:rPr>
        <w:tab/>
      </w:r>
      <w:r w:rsidRPr="004E1E05">
        <w:rPr>
          <w:rFonts w:ascii="Arial" w:hAnsi="Arial" w:cs="Arial"/>
          <w:color w:val="212121"/>
          <w:sz w:val="23"/>
          <w:szCs w:val="23"/>
        </w:rPr>
        <w:t>relating to futures contracts or options contracts (section 186(3)); (</w:t>
      </w:r>
      <w:r>
        <w:rPr>
          <w:rFonts w:ascii="Arial" w:hAnsi="Arial" w:cs="Arial"/>
          <w:color w:val="212121"/>
          <w:sz w:val="23"/>
          <w:szCs w:val="23"/>
        </w:rPr>
        <w:t>c</w:t>
      </w:r>
      <w:r w:rsidRPr="004E1E05">
        <w:rPr>
          <w:rFonts w:ascii="Arial" w:hAnsi="Arial" w:cs="Arial"/>
          <w:color w:val="212121"/>
          <w:sz w:val="23"/>
          <w:szCs w:val="23"/>
        </w:rPr>
        <w:t xml:space="preserve">) a gain arising </w:t>
      </w:r>
      <w:r w:rsidR="0044118C">
        <w:rPr>
          <w:rFonts w:ascii="Arial" w:hAnsi="Arial" w:cs="Arial"/>
          <w:color w:val="212121"/>
          <w:sz w:val="23"/>
          <w:szCs w:val="23"/>
        </w:rPr>
        <w:tab/>
      </w:r>
      <w:r w:rsidRPr="004E1E05">
        <w:rPr>
          <w:rFonts w:ascii="Arial" w:hAnsi="Arial" w:cs="Arial"/>
          <w:color w:val="212121"/>
          <w:sz w:val="23"/>
          <w:szCs w:val="23"/>
        </w:rPr>
        <w:t xml:space="preserve">from the disposal of </w:t>
      </w:r>
      <w:r>
        <w:rPr>
          <w:rFonts w:ascii="Arial" w:hAnsi="Arial" w:cs="Arial"/>
          <w:color w:val="212121"/>
          <w:sz w:val="23"/>
          <w:szCs w:val="23"/>
        </w:rPr>
        <w:tab/>
      </w:r>
      <w:r w:rsidRPr="004E1E05">
        <w:rPr>
          <w:rFonts w:ascii="Arial" w:hAnsi="Arial" w:cs="Arial"/>
          <w:color w:val="212121"/>
          <w:sz w:val="23"/>
          <w:szCs w:val="23"/>
        </w:rPr>
        <w:t xml:space="preserve">investments held for the purposes of the scheme is exempt from </w:t>
      </w:r>
      <w:r w:rsidR="0044118C">
        <w:rPr>
          <w:rFonts w:ascii="Arial" w:hAnsi="Arial" w:cs="Arial"/>
          <w:color w:val="212121"/>
          <w:sz w:val="23"/>
          <w:szCs w:val="23"/>
        </w:rPr>
        <w:tab/>
      </w:r>
      <w:r w:rsidRPr="004E1E05">
        <w:rPr>
          <w:rFonts w:ascii="Arial" w:hAnsi="Arial" w:cs="Arial"/>
          <w:color w:val="212121"/>
          <w:sz w:val="23"/>
          <w:szCs w:val="23"/>
        </w:rPr>
        <w:t>capital gains tax (section 271 of the Taxation of Chargeable Gains Act 1992).</w:t>
      </w:r>
    </w:p>
    <w:p w:rsidR="004E1E05" w:rsidRPr="004E1E05" w:rsidRDefault="004E1E05" w:rsidP="004E1E05">
      <w:pPr>
        <w:shd w:val="clear" w:color="auto" w:fill="FFFFFF"/>
        <w:ind w:left="945"/>
        <w:rPr>
          <w:rFonts w:ascii="Arial" w:eastAsia="Times New Roman" w:hAnsi="Arial" w:cs="Arial"/>
          <w:sz w:val="22"/>
          <w:szCs w:val="22"/>
          <w:lang w:eastAsia="en-GB"/>
        </w:rPr>
      </w:pPr>
    </w:p>
    <w:p w:rsidR="008A33E8" w:rsidRPr="008A33E8" w:rsidRDefault="008A33E8" w:rsidP="008A33E8">
      <w:pPr>
        <w:rPr>
          <w:rFonts w:ascii="Arial" w:hAnsi="Arial" w:cs="Arial"/>
          <w:sz w:val="23"/>
          <w:szCs w:val="23"/>
        </w:rPr>
      </w:pPr>
    </w:p>
    <w:p w:rsidR="008A33E8" w:rsidRPr="008A33E8" w:rsidRDefault="008A33E8" w:rsidP="008A33E8">
      <w:pPr>
        <w:rPr>
          <w:rFonts w:ascii="Arial" w:hAnsi="Arial" w:cs="Arial"/>
          <w:b/>
          <w:sz w:val="23"/>
          <w:szCs w:val="23"/>
        </w:rPr>
      </w:pPr>
      <w:r w:rsidRPr="008A33E8">
        <w:rPr>
          <w:rFonts w:ascii="Arial" w:hAnsi="Arial" w:cs="Arial"/>
          <w:b/>
          <w:sz w:val="23"/>
          <w:szCs w:val="23"/>
        </w:rPr>
        <w:t>Our opinion</w:t>
      </w:r>
    </w:p>
    <w:p w:rsidR="008A33E8" w:rsidRPr="008A33E8" w:rsidRDefault="008A33E8" w:rsidP="008A33E8">
      <w:pPr>
        <w:rPr>
          <w:rFonts w:ascii="Arial" w:hAnsi="Arial" w:cs="Arial"/>
          <w:b/>
          <w:sz w:val="23"/>
          <w:szCs w:val="23"/>
        </w:rPr>
      </w:pPr>
    </w:p>
    <w:p w:rsidR="008A33E8" w:rsidRPr="008A33E8" w:rsidRDefault="008A33E8" w:rsidP="008A33E8">
      <w:pPr>
        <w:rPr>
          <w:rFonts w:ascii="Arial" w:hAnsi="Arial" w:cs="Arial"/>
          <w:color w:val="222222"/>
          <w:sz w:val="23"/>
          <w:szCs w:val="23"/>
          <w:shd w:val="clear" w:color="auto" w:fill="FFFFFF"/>
        </w:rPr>
      </w:pPr>
      <w:r w:rsidRPr="008A33E8">
        <w:rPr>
          <w:rFonts w:ascii="Arial" w:hAnsi="Arial" w:cs="Arial"/>
          <w:sz w:val="23"/>
          <w:szCs w:val="23"/>
        </w:rPr>
        <w:t>The Trustees have taken</w:t>
      </w:r>
      <w:r w:rsidR="00DE2C0D">
        <w:rPr>
          <w:rFonts w:ascii="Arial" w:hAnsi="Arial" w:cs="Arial"/>
          <w:sz w:val="23"/>
          <w:szCs w:val="23"/>
        </w:rPr>
        <w:t xml:space="preserve"> legal</w:t>
      </w:r>
      <w:r w:rsidRPr="008A33E8">
        <w:rPr>
          <w:rFonts w:ascii="Arial" w:hAnsi="Arial" w:cs="Arial"/>
          <w:sz w:val="23"/>
          <w:szCs w:val="23"/>
        </w:rPr>
        <w:t xml:space="preserve"> advice that </w:t>
      </w:r>
      <w:r w:rsidRPr="008A33E8">
        <w:rPr>
          <w:rFonts w:ascii="Arial" w:hAnsi="Arial" w:cs="Arial"/>
          <w:color w:val="222222"/>
          <w:sz w:val="23"/>
          <w:szCs w:val="23"/>
          <w:shd w:val="clear" w:color="auto" w:fill="FFFFFF"/>
        </w:rPr>
        <w:t>(</w:t>
      </w:r>
      <w:proofErr w:type="spellStart"/>
      <w:r w:rsidRPr="008A33E8">
        <w:rPr>
          <w:rFonts w:ascii="Arial" w:hAnsi="Arial" w:cs="Arial"/>
          <w:color w:val="222222"/>
          <w:sz w:val="23"/>
          <w:szCs w:val="23"/>
          <w:shd w:val="clear" w:color="auto" w:fill="FFFFFF"/>
        </w:rPr>
        <w:t>i</w:t>
      </w:r>
      <w:proofErr w:type="spellEnd"/>
      <w:r w:rsidRPr="008A33E8">
        <w:rPr>
          <w:rFonts w:ascii="Arial" w:hAnsi="Arial" w:cs="Arial"/>
          <w:color w:val="222222"/>
          <w:sz w:val="23"/>
          <w:szCs w:val="23"/>
          <w:shd w:val="clear" w:color="auto" w:fill="FFFFFF"/>
        </w:rPr>
        <w:t>) entering into derivatives to generate leverage/gearing should not be regarded as “borrowing”</w:t>
      </w:r>
      <w:r w:rsidR="00AD1D13">
        <w:rPr>
          <w:rFonts w:ascii="Arial" w:hAnsi="Arial" w:cs="Arial"/>
          <w:color w:val="222222"/>
          <w:sz w:val="23"/>
          <w:szCs w:val="23"/>
          <w:shd w:val="clear" w:color="auto" w:fill="FFFFFF"/>
        </w:rPr>
        <w:t xml:space="preserve"> (in particular where there is a degree of market risk in the derivatives)</w:t>
      </w:r>
      <w:r w:rsidRPr="008A33E8">
        <w:rPr>
          <w:rFonts w:ascii="Arial" w:hAnsi="Arial" w:cs="Arial"/>
          <w:color w:val="222222"/>
          <w:sz w:val="23"/>
          <w:szCs w:val="23"/>
          <w:shd w:val="clear" w:color="auto" w:fill="FFFFFF"/>
        </w:rPr>
        <w:t>, and (ii) that the strategy of holding non-UK equities over dividend record date (</w:t>
      </w:r>
      <w:r w:rsidR="00E43A95">
        <w:rPr>
          <w:rFonts w:ascii="Arial" w:hAnsi="Arial" w:cs="Arial"/>
          <w:color w:val="222222"/>
          <w:sz w:val="23"/>
          <w:szCs w:val="23"/>
          <w:shd w:val="clear" w:color="auto" w:fill="FFFFFF"/>
        </w:rPr>
        <w:t>together with</w:t>
      </w:r>
      <w:r w:rsidRPr="008A33E8">
        <w:rPr>
          <w:rFonts w:ascii="Arial" w:hAnsi="Arial" w:cs="Arial"/>
          <w:color w:val="222222"/>
          <w:sz w:val="23"/>
          <w:szCs w:val="23"/>
          <w:shd w:val="clear" w:color="auto" w:fill="FFFFFF"/>
        </w:rPr>
        <w:t xml:space="preserve"> a corresponding hedge) should not be regarded as “trading” activity. </w:t>
      </w:r>
    </w:p>
    <w:p w:rsidR="008A33E8" w:rsidRPr="008A33E8" w:rsidRDefault="008A33E8" w:rsidP="008A33E8">
      <w:pPr>
        <w:rPr>
          <w:rFonts w:ascii="Arial" w:hAnsi="Arial" w:cs="Arial"/>
          <w:color w:val="222222"/>
          <w:sz w:val="23"/>
          <w:szCs w:val="23"/>
          <w:shd w:val="clear" w:color="auto" w:fill="FFFFFF"/>
        </w:rPr>
      </w:pPr>
    </w:p>
    <w:p w:rsidR="008A33E8" w:rsidRPr="008A33E8" w:rsidRDefault="008A33E8" w:rsidP="008A33E8">
      <w:pPr>
        <w:rPr>
          <w:rFonts w:ascii="Arial" w:hAnsi="Arial" w:cs="Arial"/>
          <w:color w:val="222222"/>
          <w:sz w:val="23"/>
          <w:szCs w:val="23"/>
          <w:shd w:val="clear" w:color="auto" w:fill="FFFFFF"/>
        </w:rPr>
      </w:pPr>
      <w:r w:rsidRPr="008A33E8">
        <w:rPr>
          <w:rFonts w:ascii="Arial" w:hAnsi="Arial" w:cs="Arial"/>
          <w:color w:val="222222"/>
          <w:sz w:val="23"/>
          <w:szCs w:val="23"/>
          <w:shd w:val="clear" w:color="auto" w:fill="FFFFFF"/>
        </w:rPr>
        <w:t xml:space="preserve">It follows that in respect of the borrowing point this does not fall within Section 182 of Finance Act 2004. This would mean that box 4.6 in the annual return would be declared </w:t>
      </w:r>
      <w:r>
        <w:rPr>
          <w:rFonts w:ascii="Arial" w:hAnsi="Arial" w:cs="Arial"/>
          <w:color w:val="222222"/>
          <w:sz w:val="23"/>
          <w:szCs w:val="23"/>
          <w:shd w:val="clear" w:color="auto" w:fill="FFFFFF"/>
        </w:rPr>
        <w:t>"</w:t>
      </w:r>
      <w:r w:rsidRPr="008A33E8">
        <w:rPr>
          <w:rFonts w:ascii="Arial" w:hAnsi="Arial" w:cs="Arial"/>
          <w:color w:val="222222"/>
          <w:sz w:val="23"/>
          <w:szCs w:val="23"/>
          <w:shd w:val="clear" w:color="auto" w:fill="FFFFFF"/>
        </w:rPr>
        <w:t>no</w:t>
      </w:r>
      <w:r>
        <w:rPr>
          <w:rFonts w:ascii="Arial" w:hAnsi="Arial" w:cs="Arial"/>
          <w:color w:val="222222"/>
          <w:sz w:val="23"/>
          <w:szCs w:val="23"/>
          <w:shd w:val="clear" w:color="auto" w:fill="FFFFFF"/>
        </w:rPr>
        <w:t>"</w:t>
      </w:r>
      <w:r w:rsidRPr="008A33E8">
        <w:rPr>
          <w:rFonts w:ascii="Arial" w:hAnsi="Arial" w:cs="Arial"/>
          <w:color w:val="222222"/>
          <w:sz w:val="23"/>
          <w:szCs w:val="23"/>
          <w:shd w:val="clear" w:color="auto" w:fill="FFFFFF"/>
        </w:rPr>
        <w:t>.</w:t>
      </w:r>
    </w:p>
    <w:p w:rsidR="008A33E8" w:rsidRPr="008A33E8" w:rsidRDefault="008A33E8" w:rsidP="008A33E8">
      <w:pPr>
        <w:rPr>
          <w:rFonts w:ascii="Arial" w:hAnsi="Arial" w:cs="Arial"/>
          <w:color w:val="222222"/>
          <w:sz w:val="23"/>
          <w:szCs w:val="23"/>
          <w:shd w:val="clear" w:color="auto" w:fill="FFFFFF"/>
        </w:rPr>
      </w:pPr>
    </w:p>
    <w:p w:rsidR="008A33E8" w:rsidRPr="008A33E8" w:rsidRDefault="008A33E8" w:rsidP="008A33E8">
      <w:pPr>
        <w:rPr>
          <w:rFonts w:ascii="Arial" w:hAnsi="Arial" w:cs="Arial"/>
          <w:color w:val="000000"/>
          <w:sz w:val="23"/>
          <w:szCs w:val="23"/>
          <w:shd w:val="clear" w:color="auto" w:fill="FFFFFF"/>
        </w:rPr>
      </w:pPr>
      <w:r w:rsidRPr="008A33E8">
        <w:rPr>
          <w:rFonts w:ascii="Arial" w:hAnsi="Arial" w:cs="Arial"/>
          <w:color w:val="222222"/>
          <w:sz w:val="23"/>
          <w:szCs w:val="23"/>
          <w:shd w:val="clear" w:color="auto" w:fill="FFFFFF"/>
        </w:rPr>
        <w:t>In respect of box 12.3 &amp; 12.6 I am aware that in respect of sim</w:t>
      </w:r>
      <w:r>
        <w:rPr>
          <w:rFonts w:ascii="Arial" w:hAnsi="Arial" w:cs="Arial"/>
          <w:color w:val="222222"/>
          <w:sz w:val="23"/>
          <w:szCs w:val="23"/>
          <w:shd w:val="clear" w:color="auto" w:fill="FFFFFF"/>
        </w:rPr>
        <w:t xml:space="preserve">ilar </w:t>
      </w:r>
      <w:r w:rsidRPr="008A33E8">
        <w:rPr>
          <w:rFonts w:ascii="Arial" w:hAnsi="Arial" w:cs="Arial"/>
          <w:color w:val="222222"/>
          <w:sz w:val="23"/>
          <w:szCs w:val="23"/>
          <w:shd w:val="clear" w:color="auto" w:fill="FFFFFF"/>
        </w:rPr>
        <w:t xml:space="preserve">activities under </w:t>
      </w:r>
      <w:r w:rsidRPr="008A33E8">
        <w:rPr>
          <w:rFonts w:ascii="Arial" w:hAnsi="Arial" w:cs="Arial"/>
          <w:color w:val="000000"/>
          <w:sz w:val="23"/>
          <w:szCs w:val="23"/>
          <w:shd w:val="clear" w:color="auto" w:fill="FFFFFF"/>
        </w:rPr>
        <w:t xml:space="preserve">Financial Reporting Standard 102 and SORPS "net" basis is reported. </w:t>
      </w:r>
    </w:p>
    <w:p w:rsidR="008A33E8" w:rsidRPr="008A33E8" w:rsidRDefault="008A33E8" w:rsidP="008A33E8">
      <w:pPr>
        <w:rPr>
          <w:rFonts w:ascii="Arial" w:hAnsi="Arial" w:cs="Arial"/>
          <w:color w:val="000000"/>
          <w:sz w:val="23"/>
          <w:szCs w:val="23"/>
          <w:shd w:val="clear" w:color="auto" w:fill="FFFFFF"/>
        </w:rPr>
      </w:pPr>
    </w:p>
    <w:p w:rsidR="008A33E8" w:rsidRPr="008A33E8" w:rsidRDefault="008A33E8" w:rsidP="008A33E8">
      <w:pPr>
        <w:rPr>
          <w:rFonts w:ascii="Arial" w:hAnsi="Arial" w:cs="Arial"/>
          <w:color w:val="000000"/>
          <w:sz w:val="23"/>
          <w:szCs w:val="23"/>
          <w:shd w:val="clear" w:color="auto" w:fill="FFFFFF"/>
        </w:rPr>
      </w:pPr>
      <w:r w:rsidRPr="008A33E8">
        <w:rPr>
          <w:rFonts w:ascii="Arial" w:hAnsi="Arial" w:cs="Arial"/>
          <w:color w:val="000000"/>
          <w:sz w:val="23"/>
          <w:szCs w:val="23"/>
          <w:shd w:val="clear" w:color="auto" w:fill="FFFFFF"/>
        </w:rPr>
        <w:t xml:space="preserve">I would be grateful for your comments </w:t>
      </w:r>
      <w:r w:rsidR="00DE2C0D">
        <w:rPr>
          <w:rFonts w:ascii="Arial" w:hAnsi="Arial" w:cs="Arial"/>
          <w:color w:val="000000"/>
          <w:sz w:val="23"/>
          <w:szCs w:val="23"/>
          <w:shd w:val="clear" w:color="auto" w:fill="FFFFFF"/>
        </w:rPr>
        <w:t>and</w:t>
      </w:r>
      <w:r w:rsidRPr="008A33E8">
        <w:rPr>
          <w:rFonts w:ascii="Arial" w:hAnsi="Arial" w:cs="Arial"/>
          <w:color w:val="000000"/>
          <w:sz w:val="23"/>
          <w:szCs w:val="23"/>
          <w:shd w:val="clear" w:color="auto" w:fill="FFFFFF"/>
        </w:rPr>
        <w:t xml:space="preserve"> whether you consider that such an approach is reasonable.</w:t>
      </w:r>
      <w:bookmarkStart w:id="0" w:name="_GoBack"/>
      <w:bookmarkEnd w:id="0"/>
    </w:p>
    <w:p w:rsidR="008A33E8" w:rsidRPr="008A33E8" w:rsidRDefault="008A33E8" w:rsidP="008A33E8">
      <w:pPr>
        <w:rPr>
          <w:rFonts w:ascii="Arial" w:hAnsi="Arial" w:cs="Arial"/>
          <w:color w:val="000000"/>
          <w:sz w:val="23"/>
          <w:szCs w:val="23"/>
          <w:shd w:val="clear" w:color="auto" w:fill="FFFFFF"/>
        </w:rPr>
      </w:pPr>
    </w:p>
    <w:p w:rsidR="008A33E8" w:rsidRPr="008A33E8" w:rsidRDefault="008A33E8" w:rsidP="008A33E8">
      <w:pPr>
        <w:rPr>
          <w:rFonts w:ascii="Arial" w:hAnsi="Arial" w:cs="Arial"/>
          <w:color w:val="000000"/>
          <w:sz w:val="23"/>
          <w:szCs w:val="23"/>
          <w:shd w:val="clear" w:color="auto" w:fill="FFFFFF"/>
        </w:rPr>
      </w:pPr>
      <w:r w:rsidRPr="008A33E8">
        <w:rPr>
          <w:rFonts w:ascii="Arial" w:hAnsi="Arial" w:cs="Arial"/>
          <w:color w:val="000000"/>
          <w:sz w:val="23"/>
          <w:szCs w:val="23"/>
          <w:shd w:val="clear" w:color="auto" w:fill="FFFFFF"/>
        </w:rPr>
        <w:t>Yours sincerely</w:t>
      </w:r>
    </w:p>
    <w:p w:rsidR="008A33E8" w:rsidRPr="008A33E8" w:rsidRDefault="008A33E8" w:rsidP="008A33E8">
      <w:pPr>
        <w:rPr>
          <w:rFonts w:ascii="Arial" w:hAnsi="Arial" w:cs="Arial"/>
          <w:color w:val="000000"/>
          <w:sz w:val="23"/>
          <w:szCs w:val="23"/>
          <w:shd w:val="clear" w:color="auto" w:fill="FFFFFF"/>
        </w:rPr>
      </w:pPr>
    </w:p>
    <w:p w:rsidR="008A33E8" w:rsidRPr="008A33E8" w:rsidRDefault="008A33E8" w:rsidP="008A33E8">
      <w:pPr>
        <w:rPr>
          <w:rFonts w:ascii="Arial" w:hAnsi="Arial" w:cs="Arial"/>
          <w:color w:val="000000"/>
          <w:sz w:val="23"/>
          <w:szCs w:val="23"/>
          <w:shd w:val="clear" w:color="auto" w:fill="FFFFFF"/>
        </w:rPr>
      </w:pPr>
    </w:p>
    <w:p w:rsidR="008A33E8" w:rsidRPr="008A33E8" w:rsidRDefault="008A33E8" w:rsidP="008A33E8">
      <w:pPr>
        <w:rPr>
          <w:rFonts w:ascii="Arial" w:hAnsi="Arial" w:cs="Arial"/>
          <w:sz w:val="23"/>
          <w:szCs w:val="23"/>
        </w:rPr>
      </w:pPr>
      <w:r w:rsidRPr="008A33E8">
        <w:rPr>
          <w:rFonts w:ascii="Arial" w:hAnsi="Arial" w:cs="Arial"/>
          <w:color w:val="000000"/>
          <w:sz w:val="23"/>
          <w:szCs w:val="23"/>
          <w:shd w:val="clear" w:color="auto" w:fill="FFFFFF"/>
        </w:rPr>
        <w:t>Gavin McCloskey</w:t>
      </w:r>
      <w:r w:rsidRPr="008A33E8">
        <w:rPr>
          <w:rFonts w:ascii="Arial" w:hAnsi="Arial" w:cs="Arial"/>
          <w:color w:val="000000"/>
          <w:sz w:val="23"/>
          <w:szCs w:val="23"/>
          <w:shd w:val="clear" w:color="auto" w:fill="FFFFFF"/>
        </w:rPr>
        <w:br/>
      </w:r>
      <w:r w:rsidRPr="008A33E8">
        <w:rPr>
          <w:rFonts w:ascii="Arial" w:hAnsi="Arial" w:cs="Arial"/>
          <w:b/>
          <w:color w:val="000000"/>
          <w:sz w:val="23"/>
          <w:szCs w:val="23"/>
          <w:shd w:val="clear" w:color="auto" w:fill="FFFFFF"/>
        </w:rPr>
        <w:t>For Pension Practitioner .Com</w:t>
      </w:r>
    </w:p>
    <w:sectPr w:rsidR="008A33E8" w:rsidRPr="008A33E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8E" w:rsidRDefault="004D378E">
      <w:r>
        <w:separator/>
      </w:r>
    </w:p>
  </w:endnote>
  <w:endnote w:type="continuationSeparator" w:id="0">
    <w:p w:rsidR="004D378E" w:rsidRDefault="004D3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AC" w:rsidRDefault="00147AAC" w:rsidP="005C46FE">
    <w:pPr>
      <w:pStyle w:val="Footer"/>
      <w:jc w:val="center"/>
      <w:rPr>
        <w:rFonts w:ascii="Helvetica" w:hAnsi="Helvetica" w:cs="Helvetica"/>
        <w:color w:val="221E1F"/>
        <w:sz w:val="20"/>
        <w:szCs w:val="20"/>
      </w:rPr>
    </w:pPr>
    <w:r w:rsidRPr="005C46FE">
      <w:rPr>
        <w:rFonts w:ascii="Helvetica" w:hAnsi="Helvetica" w:cs="Helvetica"/>
        <w:sz w:val="20"/>
        <w:szCs w:val="20"/>
      </w:rPr>
      <w:t>Daws House, 33-35 Daws Lane, London. NW7 4SD</w:t>
    </w:r>
    <w:r w:rsidRPr="005C46FE">
      <w:rPr>
        <w:rFonts w:ascii="Helvetica" w:hAnsi="Helvetica" w:cs="Helvetica"/>
        <w:sz w:val="20"/>
        <w:szCs w:val="20"/>
      </w:rPr>
      <w:br/>
    </w:r>
    <w:r w:rsidRPr="005C46FE">
      <w:rPr>
        <w:rFonts w:ascii="Helvetica" w:hAnsi="Helvetica" w:cs="Helvetica"/>
        <w:color w:val="221E1F"/>
        <w:sz w:val="20"/>
        <w:szCs w:val="20"/>
      </w:rPr>
      <w:t>Registered in England No: 6028668; VAT Reg No: 894312018</w:t>
    </w:r>
  </w:p>
  <w:p w:rsidR="00147AAC" w:rsidRPr="005C46FE" w:rsidRDefault="00147AAC" w:rsidP="005C4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8E" w:rsidRDefault="004D378E">
      <w:r>
        <w:separator/>
      </w:r>
    </w:p>
  </w:footnote>
  <w:footnote w:type="continuationSeparator" w:id="0">
    <w:p w:rsidR="004D378E" w:rsidRDefault="004D3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AC" w:rsidRDefault="006F1B8C">
    <w:pPr>
      <w:pStyle w:val="Header"/>
    </w:pPr>
    <w:r>
      <w:rPr>
        <w:noProof/>
        <w:lang w:val="en-GB" w:eastAsia="en-GB"/>
      </w:rPr>
      <w:drawing>
        <wp:inline distT="0" distB="0" distL="0" distR="0">
          <wp:extent cx="6085205" cy="922655"/>
          <wp:effectExtent l="19050" t="0" r="0"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srcRect/>
                  <a:stretch>
                    <a:fillRect/>
                  </a:stretch>
                </pic:blipFill>
                <pic:spPr bwMode="auto">
                  <a:xfrm>
                    <a:off x="0" y="0"/>
                    <a:ext cx="6085205" cy="922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7CE264A"/>
    <w:multiLevelType w:val="hybridMultilevel"/>
    <w:tmpl w:val="2A1CB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B67FF6"/>
    <w:multiLevelType w:val="multilevel"/>
    <w:tmpl w:val="C348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12AB"/>
    <w:multiLevelType w:val="multilevel"/>
    <w:tmpl w:val="B04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C4104"/>
    <w:multiLevelType w:val="multilevel"/>
    <w:tmpl w:val="CF2A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03579"/>
    <w:multiLevelType w:val="multilevel"/>
    <w:tmpl w:val="3CF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65E11"/>
    <w:multiLevelType w:val="multilevel"/>
    <w:tmpl w:val="DCB83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C8135D"/>
    <w:multiLevelType w:val="multilevel"/>
    <w:tmpl w:val="018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3E42C0"/>
    <w:multiLevelType w:val="multilevel"/>
    <w:tmpl w:val="E798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F25276"/>
    <w:multiLevelType w:val="multilevel"/>
    <w:tmpl w:val="6048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3"/>
  </w:num>
  <w:num w:numId="5">
    <w:abstractNumId w:val="4"/>
  </w:num>
  <w:num w:numId="6">
    <w:abstractNumId w:val="2"/>
  </w:num>
  <w:num w:numId="7">
    <w:abstractNumId w:val="1"/>
  </w:num>
  <w:num w:numId="8">
    <w:abstractNumId w:val="9"/>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nsley Chrishan">
    <w15:presenceInfo w15:providerId="AD" w15:userId="S-1-5-21-2737013448-2198968286-2289660832-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rsids>
    <w:rsidRoot w:val="00DA268C"/>
    <w:rsid w:val="00021BD1"/>
    <w:rsid w:val="00030719"/>
    <w:rsid w:val="000534A1"/>
    <w:rsid w:val="000C580E"/>
    <w:rsid w:val="00111CB9"/>
    <w:rsid w:val="00147AAC"/>
    <w:rsid w:val="00163422"/>
    <w:rsid w:val="001646EC"/>
    <w:rsid w:val="001A5F2E"/>
    <w:rsid w:val="001E0486"/>
    <w:rsid w:val="00276386"/>
    <w:rsid w:val="00286C07"/>
    <w:rsid w:val="002E2BC3"/>
    <w:rsid w:val="002F34AD"/>
    <w:rsid w:val="00350C69"/>
    <w:rsid w:val="00392F07"/>
    <w:rsid w:val="00393631"/>
    <w:rsid w:val="00395679"/>
    <w:rsid w:val="0044118C"/>
    <w:rsid w:val="00450406"/>
    <w:rsid w:val="00454A96"/>
    <w:rsid w:val="00487EFA"/>
    <w:rsid w:val="004A15FC"/>
    <w:rsid w:val="004B35B8"/>
    <w:rsid w:val="004D378E"/>
    <w:rsid w:val="004E1E05"/>
    <w:rsid w:val="004F3DAF"/>
    <w:rsid w:val="005C46FE"/>
    <w:rsid w:val="005C4A96"/>
    <w:rsid w:val="005F240A"/>
    <w:rsid w:val="005F2713"/>
    <w:rsid w:val="0066680A"/>
    <w:rsid w:val="006A4894"/>
    <w:rsid w:val="006F1B8C"/>
    <w:rsid w:val="00720F0E"/>
    <w:rsid w:val="007C263A"/>
    <w:rsid w:val="007E3BC3"/>
    <w:rsid w:val="007E5CBB"/>
    <w:rsid w:val="007F0B22"/>
    <w:rsid w:val="00851423"/>
    <w:rsid w:val="00866632"/>
    <w:rsid w:val="008A33E8"/>
    <w:rsid w:val="008C1B9A"/>
    <w:rsid w:val="0097709C"/>
    <w:rsid w:val="009A01EA"/>
    <w:rsid w:val="009E2907"/>
    <w:rsid w:val="00A215F2"/>
    <w:rsid w:val="00AD1D13"/>
    <w:rsid w:val="00B46226"/>
    <w:rsid w:val="00B74808"/>
    <w:rsid w:val="00BB075F"/>
    <w:rsid w:val="00BE2DD6"/>
    <w:rsid w:val="00C25AB3"/>
    <w:rsid w:val="00C40937"/>
    <w:rsid w:val="00C57590"/>
    <w:rsid w:val="00CB50E3"/>
    <w:rsid w:val="00CC5CE4"/>
    <w:rsid w:val="00CE3F69"/>
    <w:rsid w:val="00D229AB"/>
    <w:rsid w:val="00D52208"/>
    <w:rsid w:val="00D81439"/>
    <w:rsid w:val="00DA268C"/>
    <w:rsid w:val="00DB0612"/>
    <w:rsid w:val="00DE2C0D"/>
    <w:rsid w:val="00E43A95"/>
    <w:rsid w:val="00E53030"/>
    <w:rsid w:val="00E7203E"/>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2">
    <w:name w:val="heading 2"/>
    <w:basedOn w:val="Normal"/>
    <w:link w:val="Heading2Char"/>
    <w:uiPriority w:val="9"/>
    <w:qFormat/>
    <w:rsid w:val="005C4A96"/>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5C4A96"/>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 w:type="character" w:customStyle="1" w:styleId="Heading2Char">
    <w:name w:val="Heading 2 Char"/>
    <w:basedOn w:val="DefaultParagraphFont"/>
    <w:link w:val="Heading2"/>
    <w:uiPriority w:val="9"/>
    <w:rsid w:val="005C4A96"/>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C4A96"/>
    <w:rPr>
      <w:rFonts w:ascii="Times New Roman" w:eastAsia="Times New Roman" w:hAnsi="Times New Roman"/>
      <w:b/>
      <w:bCs/>
      <w:sz w:val="27"/>
      <w:szCs w:val="27"/>
    </w:rPr>
  </w:style>
  <w:style w:type="paragraph" w:styleId="NormalWeb">
    <w:name w:val="Normal (Web)"/>
    <w:basedOn w:val="Normal"/>
    <w:uiPriority w:val="99"/>
    <w:semiHidden/>
    <w:unhideWhenUsed/>
    <w:rsid w:val="005C4A96"/>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basedOn w:val="DefaultParagraphFont"/>
    <w:rsid w:val="005C4A96"/>
  </w:style>
  <w:style w:type="character" w:styleId="Strong">
    <w:name w:val="Strong"/>
    <w:basedOn w:val="DefaultParagraphFont"/>
    <w:uiPriority w:val="22"/>
    <w:qFormat/>
    <w:rsid w:val="005C4A96"/>
    <w:rPr>
      <w:b/>
      <w:bCs/>
    </w:rPr>
  </w:style>
  <w:style w:type="character" w:styleId="Emphasis">
    <w:name w:val="Emphasis"/>
    <w:basedOn w:val="DefaultParagraphFont"/>
    <w:uiPriority w:val="20"/>
    <w:qFormat/>
    <w:rsid w:val="005C4A96"/>
    <w:rPr>
      <w:i/>
      <w:iCs/>
    </w:rPr>
  </w:style>
  <w:style w:type="character" w:styleId="Hyperlink">
    <w:name w:val="Hyperlink"/>
    <w:basedOn w:val="DefaultParagraphFont"/>
    <w:uiPriority w:val="99"/>
    <w:semiHidden/>
    <w:unhideWhenUsed/>
    <w:rsid w:val="005C4A96"/>
    <w:rPr>
      <w:color w:val="0000FF"/>
      <w:u w:val="single"/>
    </w:rPr>
  </w:style>
</w:styles>
</file>

<file path=word/webSettings.xml><?xml version="1.0" encoding="utf-8"?>
<w:webSettings xmlns:r="http://schemas.openxmlformats.org/officeDocument/2006/relationships" xmlns:w="http://schemas.openxmlformats.org/wordprocessingml/2006/main">
  <w:divs>
    <w:div w:id="563368868">
      <w:bodyDiv w:val="1"/>
      <w:marLeft w:val="0"/>
      <w:marRight w:val="0"/>
      <w:marTop w:val="0"/>
      <w:marBottom w:val="0"/>
      <w:divBdr>
        <w:top w:val="none" w:sz="0" w:space="0" w:color="auto"/>
        <w:left w:val="none" w:sz="0" w:space="0" w:color="auto"/>
        <w:bottom w:val="none" w:sz="0" w:space="0" w:color="auto"/>
        <w:right w:val="none" w:sz="0" w:space="0" w:color="auto"/>
      </w:divBdr>
      <w:divsChild>
        <w:div w:id="1096052164">
          <w:marLeft w:val="0"/>
          <w:marRight w:val="0"/>
          <w:marTop w:val="0"/>
          <w:marBottom w:val="0"/>
          <w:divBdr>
            <w:top w:val="none" w:sz="0" w:space="0" w:color="auto"/>
            <w:left w:val="none" w:sz="0" w:space="0" w:color="auto"/>
            <w:bottom w:val="none" w:sz="0" w:space="0" w:color="auto"/>
            <w:right w:val="none" w:sz="0" w:space="0" w:color="auto"/>
          </w:divBdr>
        </w:div>
        <w:div w:id="559556138">
          <w:marLeft w:val="0"/>
          <w:marRight w:val="0"/>
          <w:marTop w:val="0"/>
          <w:marBottom w:val="0"/>
          <w:divBdr>
            <w:top w:val="none" w:sz="0" w:space="0" w:color="auto"/>
            <w:left w:val="none" w:sz="0" w:space="0" w:color="auto"/>
            <w:bottom w:val="none" w:sz="0" w:space="0" w:color="auto"/>
            <w:right w:val="none" w:sz="0" w:space="0" w:color="auto"/>
          </w:divBdr>
        </w:div>
        <w:div w:id="451367672">
          <w:marLeft w:val="0"/>
          <w:marRight w:val="0"/>
          <w:marTop w:val="0"/>
          <w:marBottom w:val="0"/>
          <w:divBdr>
            <w:top w:val="none" w:sz="0" w:space="0" w:color="auto"/>
            <w:left w:val="none" w:sz="0" w:space="0" w:color="auto"/>
            <w:bottom w:val="none" w:sz="0" w:space="0" w:color="auto"/>
            <w:right w:val="none" w:sz="0" w:space="0" w:color="auto"/>
          </w:divBdr>
        </w:div>
        <w:div w:id="132917755">
          <w:marLeft w:val="0"/>
          <w:marRight w:val="0"/>
          <w:marTop w:val="0"/>
          <w:marBottom w:val="0"/>
          <w:divBdr>
            <w:top w:val="none" w:sz="0" w:space="0" w:color="auto"/>
            <w:left w:val="none" w:sz="0" w:space="0" w:color="auto"/>
            <w:bottom w:val="none" w:sz="0" w:space="0" w:color="auto"/>
            <w:right w:val="none" w:sz="0" w:space="0" w:color="auto"/>
          </w:divBdr>
        </w:div>
        <w:div w:id="577207145">
          <w:marLeft w:val="0"/>
          <w:marRight w:val="0"/>
          <w:marTop w:val="0"/>
          <w:marBottom w:val="0"/>
          <w:divBdr>
            <w:top w:val="none" w:sz="0" w:space="0" w:color="auto"/>
            <w:left w:val="none" w:sz="0" w:space="0" w:color="auto"/>
            <w:bottom w:val="none" w:sz="0" w:space="0" w:color="auto"/>
            <w:right w:val="none" w:sz="0" w:space="0" w:color="auto"/>
          </w:divBdr>
        </w:div>
      </w:divsChild>
    </w:div>
    <w:div w:id="1380516240">
      <w:bodyDiv w:val="1"/>
      <w:marLeft w:val="0"/>
      <w:marRight w:val="0"/>
      <w:marTop w:val="0"/>
      <w:marBottom w:val="0"/>
      <w:divBdr>
        <w:top w:val="none" w:sz="0" w:space="0" w:color="auto"/>
        <w:left w:val="none" w:sz="0" w:space="0" w:color="auto"/>
        <w:bottom w:val="none" w:sz="0" w:space="0" w:color="auto"/>
        <w:right w:val="none" w:sz="0" w:space="0" w:color="auto"/>
      </w:divBdr>
    </w:div>
    <w:div w:id="1589726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9483-C5FB-4A45-A368-74B444B8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2</cp:revision>
  <cp:lastPrinted>2016-04-19T15:47:00Z</cp:lastPrinted>
  <dcterms:created xsi:type="dcterms:W3CDTF">2016-04-19T16:19:00Z</dcterms:created>
  <dcterms:modified xsi:type="dcterms:W3CDTF">2016-04-19T16:19:00Z</dcterms:modified>
</cp:coreProperties>
</file>