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Elomar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Wael Ali El Omar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Jean Theresa Angela El Omar</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4P52aw62hXVqNnGHL8C/I3cXeg==">AMUW2mXRfFlPTbDfcp/g5BwqvgpvHUVJE2PDF1tuOdm9b8ZY+mBTGrHyPLsDHlDzpoYVfOtA++6o9ZhjllN2cQE2rmWyF97bOMfHhymEZEyPl0gZRasYhWwzMwYlvdEkQJY/dJ13vN9/SRQDNsxpQ9S3to/lIDX3ZQ==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