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119"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Enlite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rtl w:val="0"/>
        </w:rPr>
        <w:t xml:space="preserve">Enlite Electrical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rtl w:val="0"/>
        </w:rPr>
        <w:t xml:space="preserve">SC702006 and whose registered office is situated at </w:t>
      </w:r>
      <w:r w:rsidDel="00000000" w:rsidR="00000000" w:rsidRPr="00000000">
        <w:rPr>
          <w:rFonts w:ascii="Arial" w:cs="Arial" w:eastAsia="Arial" w:hAnsi="Arial"/>
          <w:highlight w:val="white"/>
          <w:rtl w:val="0"/>
        </w:rPr>
        <w:t xml:space="preserve">The Mechanics Workshop, New Lanark, Lanark, Lanarkshire, Scotland, ML11 9DB</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rtl w:val="0"/>
        </w:rPr>
        <w:t xml:space="preserve">Reed Robert Cameron</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of </w:t>
      </w:r>
      <w:r w:rsidDel="00000000" w:rsidR="00000000" w:rsidRPr="00000000">
        <w:rPr>
          <w:rFonts w:ascii="Arial" w:cs="Arial" w:eastAsia="Arial" w:hAnsi="Arial"/>
          <w:rtl w:val="0"/>
        </w:rPr>
        <w:t xml:space="preserve">16 Redmill Court, East Whitburn, Bathgate</w:t>
      </w:r>
      <w:r w:rsidDel="00000000" w:rsidR="00000000" w:rsidRPr="00000000">
        <w:rPr>
          <w:rFonts w:ascii="Arial" w:cs="Arial" w:eastAsia="Arial" w:hAnsi="Arial"/>
          <w:smallCaps w:val="1"/>
          <w:rtl w:val="0"/>
        </w:rPr>
        <w:t xml:space="preserve">, EH47 0PL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rtl w:val="0"/>
        </w:rPr>
        <w:t xml:space="preserve">Stewart Frederick William McInnes </w:t>
      </w:r>
      <w:r w:rsidDel="00000000" w:rsidR="00000000" w:rsidRPr="00000000">
        <w:rPr>
          <w:rFonts w:ascii="Arial" w:cs="Arial" w:eastAsia="Arial" w:hAnsi="Arial"/>
          <w:rtl w:val="0"/>
        </w:rPr>
        <w:t xml:space="preserve">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67 McLean Crescent, Whitburn, Bathgate, EH47 0ST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Enlite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Enlite Electrical Limited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Reed Robert Cameron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Reed Robert Cameron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F">
      <w:pPr>
        <w:spacing w:after="0" w:before="213" w:line="240" w:lineRule="auto"/>
        <w:rPr>
          <w:rFonts w:ascii="Arial" w:cs="Arial" w:eastAsia="Arial" w:hAnsi="Arial"/>
        </w:rPr>
      </w:pPr>
      <w:r w:rsidDel="00000000" w:rsidR="00000000" w:rsidRPr="00000000">
        <w:rPr>
          <w:rFonts w:ascii="Arial" w:cs="Arial" w:eastAsia="Arial" w:hAnsi="Arial"/>
          <w:rtl w:val="0"/>
        </w:rPr>
        <w:t xml:space="preserve">  Signed as a Deed by:</w:t>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Stewart Frederick William McInnes</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7">
      <w:pPr>
        <w:spacing w:after="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j/EA9go6v9H0WR1oNviFncdVsQ==">CgMxLjAyCGguZ2pkZ3hzMgloLjMwajB6bGwyCWguMWZvYjl0ZTgAciExTm11SHJ4Ulp4dFhzSG1pcndaRElxcXhPbk42MVowTjg=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y fmtid="{D5CDD505-2E9C-101B-9397-08002B2CF9AE}" pid="3" name="GrammarlyDocumentId">
    <vt:lpwstr>3db9a8d4af50f9be40e4aa93feb99826f3fb67553be882b26c6ef76aeb6f877f</vt:lpwstr>
  </property>
</Properties>
</file>