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07/08/2024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Fimino SSAS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S0000037661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July 2024. Please find below the requested information to assist with the registration of the Fimino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Nicholas Edward Ponty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47 Oldbar Crescent, Glasgow, G53 7AT 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JN731227D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07446853570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company, totalling approximately £60,000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trustee is looking to arrange a secured loan back to the company once the scheme is fully established.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£100,000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Arc Property Sales and Lettings Ltd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47 Oldbar Crescent, Glasgow, Lanarkshire, Scotland, G53 7AT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07446853570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5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475/WB99356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360936095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7412724911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Nicholas Edward Ponty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47 Oldbar Crescent, Glasgow, G53 7AT 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JN731227D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07446853570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Ms. Tracy-Ann Wilson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TW Accounting Services Ltd 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Chartered Management Accountant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650 Stirling Rd, Cumbernauld, Glasgow G67 4AB, United Kingdom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 tracy@tw-accounting.co.uk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 07534 994 523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-914379</wp:posOffset>
          </wp:positionH>
          <wp:positionV relativeFrom="paragraph">
            <wp:posOffset>-236837</wp:posOffset>
          </wp:positionV>
          <wp:extent cx="7792338" cy="1086501"/>
          <wp:effectExtent b="0" l="0" r="0" t="0"/>
          <wp:wrapNone/>
          <wp:docPr id="3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-914379</wp:posOffset>
          </wp:positionH>
          <wp:positionV relativeFrom="paragraph">
            <wp:posOffset>-457181</wp:posOffset>
          </wp:positionV>
          <wp:extent cx="7810500" cy="1126514"/>
          <wp:effectExtent b="0" l="0" r="0" t="0"/>
          <wp:wrapNone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LP+s/xRZ+Z342W67iTKcIiUag==">CgMxLjAyCWguMzBqMHpsbDIJaC4zem55c2g3MghoLmdqZGd4czgAciExRl8tYzNYdDVmbnVudk5GVi1iNFMzRWhHQURFSl8zaGI=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