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r w:rsidDel="00000000" w:rsidR="00000000" w:rsidRPr="00000000">
        <w:rPr>
          <w:rFonts w:ascii="Arial" w:cs="Arial" w:eastAsia="Arial" w:hAnsi="Arial"/>
          <w:rtl w:val="0"/>
        </w:rPr>
        <w:t xml:space="preserve">Online Services Agreement for the Fimino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Nicholas Edward Ponty </w:t>
      </w:r>
      <w:r w:rsidDel="00000000" w:rsidR="00000000" w:rsidRPr="00000000">
        <w:rPr>
          <w:rFonts w:ascii="Arial" w:cs="Arial" w:eastAsia="Arial" w:hAnsi="Arial"/>
          <w:rtl w:val="0"/>
        </w:rPr>
        <w:t xml:space="preserve">acting as Trustee of Fimino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of 47 Oldbar Crescent, Glasgow</w:t>
      </w:r>
      <w:r w:rsidDel="00000000" w:rsidR="00000000" w:rsidRPr="00000000">
        <w:rPr>
          <w:rFonts w:ascii="Arial" w:cs="Arial" w:eastAsia="Arial" w:hAnsi="Arial"/>
          <w:smallCaps w:val="1"/>
          <w:rtl w:val="0"/>
        </w:rPr>
        <w:t xml:space="preserve">, G53 7AT</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rtl w:val="0"/>
        </w:rPr>
        <w:t xml:space="preserve">Arc Property Sales and Lettings Ltd </w:t>
      </w:r>
      <w:r w:rsidDel="00000000" w:rsidR="00000000" w:rsidRPr="00000000">
        <w:rPr>
          <w:rFonts w:ascii="Arial" w:cs="Arial" w:eastAsia="Arial" w:hAnsi="Arial"/>
          <w:rtl w:val="0"/>
        </w:rPr>
        <w:t xml:space="preserve">whose registered office is situate at </w:t>
      </w:r>
      <w:r w:rsidDel="00000000" w:rsidR="00000000" w:rsidRPr="00000000">
        <w:rPr>
          <w:rFonts w:ascii="Arial" w:cs="Arial" w:eastAsia="Arial" w:hAnsi="Arial"/>
          <w:color w:val="000000"/>
          <w:rtl w:val="0"/>
        </w:rPr>
        <w:t xml:space="preserve">47 Oldbar Crescent, Glasgow, Lanarkshire, Scotland, G53 7AT</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rPr>
      </w:pPr>
      <w:bookmarkStart w:colFirst="0" w:colLast="0" w:name="_heading=h.30j0zll" w:id="2"/>
      <w:bookmarkEnd w:id="2"/>
      <w:r w:rsidDel="00000000" w:rsidR="00000000" w:rsidRPr="00000000">
        <w:rPr>
          <w:rFonts w:ascii="Arial" w:cs="Arial" w:eastAsia="Arial" w:hAnsi="Arial"/>
          <w:b w:val="1"/>
          <w:rtl w:val="0"/>
        </w:rPr>
        <w:t xml:space="preserve">Nicholas Edward Ponty</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Nicholas Edward Ponty</w:t>
      </w: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B">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C">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D">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E">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F">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90">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1">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2">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3">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4">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5">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6">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7">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8">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9">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A">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B">
      <w:pPr>
        <w:numPr>
          <w:ilvl w:val="0"/>
          <w:numId w:val="5"/>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4"/>
      <w:bookmarkEnd w:id="4"/>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5"/>
      <w:bookmarkEnd w:id="5"/>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5">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6">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7">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8">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9">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A">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B">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D">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6"/>
      <w:bookmarkEnd w:id="6"/>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7"/>
      <w:bookmarkEnd w:id="7"/>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8"/>
      <w:bookmarkEnd w:id="8"/>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9"/>
      <w:bookmarkEnd w:id="9"/>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8">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9">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A">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B">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C">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10"/>
      <w:bookmarkEnd w:id="10"/>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0">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1">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B">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1"/>
      <w:bookmarkEnd w:id="11"/>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E">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F">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D0">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1">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2">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3">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4">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5">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7">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2"/>
      <w:bookmarkEnd w:id="12"/>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9">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3"/>
      <w:bookmarkEnd w:id="13"/>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B">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C">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D">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E">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F">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E0">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1">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2">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4"/>
      <w:bookmarkEnd w:id="14"/>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5"/>
      <w:bookmarkEnd w:id="15"/>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6"/>
      <w:bookmarkEnd w:id="16"/>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7"/>
      <w:bookmarkEnd w:id="17"/>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8"/>
      <w:bookmarkEnd w:id="18"/>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D">
      <w:pPr>
        <w:numPr>
          <w:ilvl w:val="0"/>
          <w:numId w:val="2"/>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E">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F">
      <w:pPr>
        <w:numPr>
          <w:ilvl w:val="0"/>
          <w:numId w:val="2"/>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9"/>
      <w:bookmarkEnd w:id="19"/>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sQPlfsyVhPZu/IqMNub6awpJg==">CgMxLjAyCGguZ2pkZ3hzMg5oLjVobmtobGNueHNkazIJaC4zMGowemxsMg5oLmF6eWN4NHJmaXZ6NzIOaC45a2o4Z3oyZnN6aHEyDmguM3AyaGl5dmxjYjcwMg5oLmxsN2pqd2c4YjZxMTIOaC5rbzh2bTdibjhkODQyDmguY3VjeXIzNHNsZTlhMg5oLm13aTAxYWhhdjJ5azIOaC5rOXQ0MXI2M2x1bnAyDmguNHVhNndoN2R0Z2JyMg5oLnFlcnhvdHV0cWdhNDIOaC5mczlpem81eGo5YTgyDmguMXVxMmhsNzV2cTE5Mg5oLjk3bmhteGh1eDEzZDIOaC5xM3JjYXoyeW56ODEyDmguajV6Z3BpMml3aHB4Mg5oLmY0ZHNveHhva29tdDIOaC40cDUxajNubG9yaDc4AHIhMXNWRlV5bUVBaW9xcTNBU2RQQzFwamZSYjdwcUdCLX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7168c9099f9c61fc4219560b91b96f2470acd79eb1d9315b9101dfc6f6d77cc4</vt:lpwstr>
  </property>
</Properties>
</file>