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rtl w:val="0"/>
        </w:rPr>
        <w:t xml:space="preserve">Gary Newsholme Pension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Gary Newsholme </w:t>
      </w:r>
      <w:r w:rsidDel="00000000" w:rsidR="00000000" w:rsidRPr="00000000">
        <w:rPr>
          <w:rFonts w:ascii="Arial" w:cs="Arial" w:eastAsia="Arial" w:hAnsi="Arial"/>
          <w:rtl w:val="0"/>
        </w:rPr>
        <w:t xml:space="preserve">acting as Trustee/s of the </w:t>
      </w:r>
      <w:r w:rsidDel="00000000" w:rsidR="00000000" w:rsidRPr="00000000">
        <w:rPr>
          <w:rFonts w:ascii="Arial" w:cs="Arial" w:eastAsia="Arial" w:hAnsi="Arial"/>
          <w:b w:val="1"/>
          <w:rtl w:val="0"/>
        </w:rPr>
        <w:t xml:space="preserve">Gary Newsholme Pension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Gary Newsholme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br w:type="textWrapping"/>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Gary Newsholme </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For Retirement Capital</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rPr>
      </w:pPr>
      <w:r w:rsidDel="00000000" w:rsidR="00000000" w:rsidRPr="00000000">
        <w:rPr>
          <w:rtl w:val="0"/>
        </w:rPr>
      </w:r>
    </w:p>
    <w:p w:rsidR="00000000" w:rsidDel="00000000" w:rsidP="00000000" w:rsidRDefault="00000000" w:rsidRPr="00000000" w14:paraId="000000A7">
      <w:pPr>
        <w:jc w:val="center"/>
        <w:rPr>
          <w:rFonts w:ascii="Arial" w:cs="Arial" w:eastAsia="Arial" w:hAnsi="Arial"/>
        </w:rPr>
      </w:pPr>
      <w:r w:rsidDel="00000000" w:rsidR="00000000" w:rsidRPr="00000000">
        <w:rPr>
          <w:rtl w:val="0"/>
        </w:rPr>
      </w:r>
    </w:p>
    <w:p w:rsidR="00000000" w:rsidDel="00000000" w:rsidP="00000000" w:rsidRDefault="00000000" w:rsidRPr="00000000" w14:paraId="000000A8">
      <w:pPr>
        <w:jc w:val="center"/>
        <w:rPr>
          <w:rFonts w:ascii="Arial" w:cs="Arial" w:eastAsia="Arial" w:hAnsi="Arial"/>
        </w:rPr>
      </w:pPr>
      <w:r w:rsidDel="00000000" w:rsidR="00000000" w:rsidRPr="00000000">
        <w:rPr>
          <w:rtl w:val="0"/>
        </w:rPr>
      </w:r>
    </w:p>
    <w:p w:rsidR="00000000" w:rsidDel="00000000" w:rsidP="00000000" w:rsidRDefault="00000000" w:rsidRPr="00000000" w14:paraId="000000A9">
      <w:pPr>
        <w:jc w:val="center"/>
        <w:rPr>
          <w:rFonts w:ascii="Arial" w:cs="Arial" w:eastAsia="Arial" w:hAnsi="Arial"/>
        </w:rPr>
      </w:pPr>
      <w:r w:rsidDel="00000000" w:rsidR="00000000" w:rsidRPr="00000000">
        <w:rPr>
          <w:rtl w:val="0"/>
        </w:rPr>
      </w:r>
    </w:p>
    <w:p w:rsidR="00000000" w:rsidDel="00000000" w:rsidP="00000000" w:rsidRDefault="00000000" w:rsidRPr="00000000" w14:paraId="000000AA">
      <w:pPr>
        <w:jc w:val="center"/>
        <w:rPr>
          <w:rFonts w:ascii="Arial" w:cs="Arial" w:eastAsia="Arial" w:hAnsi="Arial"/>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C">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E">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FpF9NDu0Vrujq2J2jJKOxsDow==">AMUW2mXzH8Ojk+QFLx2Zuy2MWizq7xNqDooINr+krEOv9ZUY8CmDjp94btgJrwERLWnl9XA4AbJfaOKxA9espsy6ONbIC2xGhPp2oWFY3hQf0XUR8DJ680F3DSTLWjVt0kgE1oRHSDIo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2021-03-01T16:18:00Z</dcterms:created>
  <dc:creator>Shelly</dc:creator>
</cp:coreProperties>
</file>