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Graydon Consulting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 </w:t>
      </w:r>
      <w:r w:rsidDel="00000000" w:rsidR="00000000" w:rsidRPr="00000000">
        <w:rPr>
          <w:rFonts w:ascii="Arial" w:cs="Arial" w:eastAsia="Arial" w:hAnsi="Arial"/>
          <w:rtl w:val="0"/>
        </w:rPr>
        <w:t xml:space="preserve">27/10/2022</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Graydon Consulting Limited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12427314 and whose registered office is situated at 2 Whitehouse Way, Epworth, Doncaster, DN9 1GS</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Linda Whitehead</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Mark Graydon Whitehead </w:t>
      </w:r>
      <w:r w:rsidDel="00000000" w:rsidR="00000000" w:rsidRPr="00000000">
        <w:rPr>
          <w:rFonts w:ascii="Arial" w:cs="Arial" w:eastAsia="Arial" w:hAnsi="Arial"/>
          <w:b w:val="0"/>
          <w:i w:val="0"/>
          <w:color w:val="000000"/>
          <w:sz w:val="22"/>
          <w:szCs w:val="22"/>
          <w:rtl w:val="0"/>
        </w:rPr>
        <w:t xml:space="preserve">both of </w:t>
      </w:r>
      <w:r w:rsidDel="00000000" w:rsidR="00000000" w:rsidRPr="00000000">
        <w:rPr>
          <w:rFonts w:ascii="Arial" w:cs="Arial" w:eastAsia="Arial" w:hAnsi="Arial"/>
          <w:rtl w:val="0"/>
        </w:rPr>
        <w:t xml:space="preserve">2 Whitehouse Way, Epworth, Doncaster, DN9 1GS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Graydon Consulting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Graydon Consulting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rtl w:val="0"/>
        </w:rPr>
        <w:t xml:space="preserve">Linda Whitehead</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Linda Whitehead</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Mark Graydon Whitehead</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so+i6t79+VmHz5McyD+N0oMAQ==">AMUW2mX9Dyp2RDFBmB4hwGrJJrF0o7/DKjeUknPtiITpFx7etqLOF/5vyaoXLtjNYFCMdzHrEscSB3LDfgmM8M65MYdoEInBPJRsSpCaXVehp65AVpB3u6bTEAXmINlAlYZLBAW+zlKR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