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pageBreakBefore w:val="0"/>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rtl w:val="0"/>
        </w:rPr>
        <w:t xml:space="preserve">Jenspot SSAS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pageBreakBefore w:val="0"/>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pageBreakBefore w:val="0"/>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b0c0c"/>
          <w:sz w:val="24"/>
          <w:szCs w:val="24"/>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pageBreakBefore w:val="0"/>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pageBreakBefore w:val="0"/>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pageBreakBefore w:val="0"/>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pageBreakBefore w:val="0"/>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pageBreakBefore w:val="0"/>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pageBreakBefore w:val="0"/>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ageBreakBefore w:val="0"/>
        <w:spacing w:after="270" w:before="280" w:line="24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Jennifer Irene Lynch</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0">
      <w:pPr>
        <w:pageBreakBefore w:val="0"/>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pageBreakBefore w:val="0"/>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ageBreakBefore w:val="0"/>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pageBreakBefore w:val="0"/>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4">
      <w:pPr>
        <w:pageBreakBefore w:val="0"/>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pageBreakBefore w:val="0"/>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pageBreakBefore w:val="0"/>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7">
      <w:pPr>
        <w:pageBreakBefore w:val="0"/>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8">
      <w:pPr>
        <w:pageBreakBefore w:val="0"/>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wELmea/s+XAu5B0fXOr1B/yhQ==">AMUW2mUmH3yoKJYbLeg72Tae2p+kBF5ynC/6cTksFcei7hAdY/tzUd/cr1tUaTlKBzM77CrBrTvMl4hsT3j1A/u4KQTJjm5PMPCd7cNNbZJgERUfSyOZQjy1h262N2NucTBH97CinDod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2021-05-27T10:42:00Z</dcterms:created>
  <dc:creator>Shelly</dc:creator>
</cp:coreProperties>
</file>