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rtl w:val="0"/>
        </w:rPr>
        <w:t xml:space="preserve">Jim Tomlinson Family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James William Tomlinson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Claudette Dawn Tomlinson</w:t>
      </w:r>
      <w:r w:rsidDel="00000000" w:rsidR="00000000" w:rsidRPr="00000000">
        <w:rPr>
          <w:rFonts w:ascii="Arial" w:cs="Arial" w:eastAsia="Arial" w:hAnsi="Arial"/>
          <w:rtl w:val="0"/>
        </w:rPr>
        <w:t xml:space="preserve"> acting as Trustees of the Jim Tomlinson Family SASS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Retirement Capital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C.</w:t>
        <w:tab/>
        <w:t xml:space="preserve">The designated Trustee who shall be the Scheme Administrator is that cited in their appointment agreement.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4.    Operation of the Scheme</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Technical updates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ICO Registration and Pensions Regulator Registration and maintenance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Calculation of Benefits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Payment of Pensions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9.   Online Platform</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James William Tomlinson</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Claudette Dawn Tomlinson</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Signed for and on behalf of the Supplier:</w:t>
        <w:br w:type="textWrapping"/>
        <w:br w:type="textWrapping"/>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For Retirement Capital</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C">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E">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5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R/QM9x5kLOCId0I+S0QN8ykLNw==">AMUW2mUFdn06W5Qjjb/FKJ7rmJtsPJQmYFRCYH2cfthMDKlYUbsBU+yxFoW0HApJ28bduw5Uf2HWV4yO0pTsNLtzf1R2Y4PPYgDHLXid4/qd7qeFMhLjnS2wskvDXhyKfaCAWx8jlzeR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2021-05-04T09:43:00Z</dcterms:created>
  <dc:creator>Shelly</dc:creator>
</cp:coreProperties>
</file>