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534344F4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52098BC1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64686B" w:rsidRPr="0064686B">
        <w:rPr>
          <w:rFonts w:ascii="Arial" w:hAnsi="Arial" w:cs="Arial"/>
          <w:b/>
          <w:sz w:val="23"/>
          <w:szCs w:val="23"/>
        </w:rPr>
        <w:t>Joe Bloggs Property Limited SSAS</w:t>
      </w:r>
      <w:r w:rsidR="0064686B" w:rsidRPr="0064686B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4CC0A601" w:rsidR="006E4A98" w:rsidRPr="00E03E1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</w:t>
      </w:r>
      <w:r w:rsidR="0019516B">
        <w:rPr>
          <w:rFonts w:ascii="Arial" w:hAnsi="Arial" w:cs="Arial"/>
          <w:color w:val="auto"/>
          <w:sz w:val="23"/>
          <w:szCs w:val="23"/>
        </w:rPr>
        <w:t>established</w:t>
      </w:r>
      <w:r w:rsidR="0064686B">
        <w:rPr>
          <w:rFonts w:ascii="Arial" w:hAnsi="Arial" w:cs="Arial"/>
          <w:color w:val="auto"/>
          <w:sz w:val="23"/>
          <w:szCs w:val="23"/>
        </w:rPr>
        <w:t xml:space="preserve"> and currently governed</w:t>
      </w:r>
      <w:r w:rsidR="0019516B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by a Trust Deed and Rules dated </w:t>
      </w:r>
      <w:r w:rsidR="0064686B" w:rsidRPr="0064686B">
        <w:rPr>
          <w:rFonts w:ascii="Arial" w:hAnsi="Arial" w:cs="Arial"/>
          <w:color w:val="auto"/>
          <w:sz w:val="23"/>
          <w:szCs w:val="23"/>
        </w:rPr>
        <w:t>19</w:t>
      </w:r>
      <w:r w:rsidR="0064686B" w:rsidRPr="0064686B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64686B" w:rsidRPr="0064686B">
        <w:rPr>
          <w:rFonts w:ascii="Arial" w:hAnsi="Arial" w:cs="Arial"/>
          <w:color w:val="auto"/>
          <w:sz w:val="23"/>
          <w:szCs w:val="23"/>
        </w:rPr>
        <w:t xml:space="preserve"> May 2014</w:t>
      </w:r>
      <w:r w:rsidR="0064686B" w:rsidRPr="0064686B">
        <w:rPr>
          <w:rFonts w:ascii="Arial" w:hAnsi="Arial" w:cs="Arial"/>
          <w:color w:val="auto"/>
          <w:sz w:val="23"/>
          <w:szCs w:val="23"/>
        </w:rPr>
        <w:t xml:space="preserve"> </w:t>
      </w:r>
      <w:r w:rsidR="0064686B">
        <w:rPr>
          <w:rFonts w:ascii="Arial" w:hAnsi="Arial" w:cs="Arial"/>
          <w:color w:val="auto"/>
          <w:sz w:val="23"/>
          <w:szCs w:val="23"/>
        </w:rPr>
        <w:t xml:space="preserve">and </w:t>
      </w:r>
      <w:r w:rsidR="002A4544" w:rsidRPr="00E03E18">
        <w:rPr>
          <w:rFonts w:ascii="Arial" w:hAnsi="Arial" w:cs="Arial"/>
          <w:color w:val="auto"/>
          <w:sz w:val="23"/>
          <w:szCs w:val="23"/>
        </w:rPr>
        <w:t>all subsequent amending deeds and documentation.</w:t>
      </w:r>
    </w:p>
    <w:p w14:paraId="20F08595" w14:textId="77777777" w:rsidR="002A4544" w:rsidRPr="00E03E18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6674A831" w:rsidR="002A4544" w:rsidRDefault="0064686B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64686B">
        <w:rPr>
          <w:rFonts w:ascii="Arial" w:hAnsi="Arial" w:cs="Arial"/>
          <w:color w:val="auto"/>
          <w:sz w:val="23"/>
          <w:szCs w:val="23"/>
        </w:rPr>
        <w:t>Joe Bloggs Property Ltd</w:t>
      </w:r>
      <w:r w:rsidRPr="0064686B">
        <w:rPr>
          <w:rFonts w:ascii="Arial" w:hAnsi="Arial" w:cs="Arial"/>
          <w:color w:val="auto"/>
          <w:sz w:val="23"/>
          <w:szCs w:val="23"/>
        </w:rPr>
        <w:t xml:space="preserve"> </w:t>
      </w:r>
      <w:r w:rsidR="002B0860" w:rsidRPr="00E03E18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E03E18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”) </w:t>
      </w:r>
      <w:r w:rsidR="009F370B">
        <w:rPr>
          <w:rFonts w:ascii="Arial" w:hAnsi="Arial" w:cs="Arial"/>
          <w:color w:val="auto"/>
          <w:sz w:val="23"/>
          <w:szCs w:val="23"/>
        </w:rPr>
        <w:t>wa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s the </w:t>
      </w:r>
      <w:r w:rsidR="009F370B">
        <w:rPr>
          <w:rFonts w:ascii="Arial" w:hAnsi="Arial" w:cs="Arial"/>
          <w:color w:val="auto"/>
          <w:sz w:val="23"/>
          <w:szCs w:val="23"/>
        </w:rPr>
        <w:t>p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rincipal </w:t>
      </w:r>
      <w:r w:rsidR="009F370B">
        <w:rPr>
          <w:rFonts w:ascii="Arial" w:hAnsi="Arial" w:cs="Arial"/>
          <w:color w:val="auto"/>
          <w:sz w:val="23"/>
          <w:szCs w:val="23"/>
        </w:rPr>
        <w:t>sponsoring e</w:t>
      </w:r>
      <w:r w:rsidR="002B0860" w:rsidRPr="00E03E18">
        <w:rPr>
          <w:rFonts w:ascii="Arial" w:hAnsi="Arial" w:cs="Arial"/>
          <w:color w:val="auto"/>
          <w:sz w:val="23"/>
          <w:szCs w:val="23"/>
        </w:rPr>
        <w:t>mployer associated with the Scheme</w:t>
      </w:r>
      <w:r w:rsidR="002A4544" w:rsidRPr="00E03E18">
        <w:rPr>
          <w:rFonts w:ascii="Arial" w:hAnsi="Arial" w:cs="Arial"/>
          <w:color w:val="auto"/>
          <w:sz w:val="23"/>
          <w:szCs w:val="23"/>
        </w:rPr>
        <w:t>. T</w:t>
      </w:r>
      <w:r w:rsidR="002B0860" w:rsidRPr="00E03E18">
        <w:rPr>
          <w:rFonts w:ascii="Arial" w:hAnsi="Arial" w:cs="Arial"/>
          <w:color w:val="auto"/>
          <w:sz w:val="23"/>
          <w:szCs w:val="23"/>
        </w:rPr>
        <w:t>h</w:t>
      </w:r>
      <w:r w:rsidR="002A4544" w:rsidRPr="00E03E18">
        <w:rPr>
          <w:rFonts w:ascii="Arial" w:hAnsi="Arial" w:cs="Arial"/>
          <w:color w:val="auto"/>
          <w:sz w:val="23"/>
          <w:szCs w:val="23"/>
        </w:rPr>
        <w:t>e Employer</w:t>
      </w:r>
      <w:r w:rsidR="000A3EAD" w:rsidRPr="00E03E18">
        <w:rPr>
          <w:rFonts w:ascii="Arial" w:hAnsi="Arial" w:cs="Arial"/>
          <w:color w:val="auto"/>
          <w:sz w:val="23"/>
          <w:szCs w:val="23"/>
        </w:rPr>
        <w:t>, furthermore,</w:t>
      </w:r>
      <w:r w:rsidR="002A4544" w:rsidRPr="00E03E18">
        <w:rPr>
          <w:rFonts w:ascii="Arial" w:hAnsi="Arial" w:cs="Arial"/>
          <w:color w:val="auto"/>
          <w:sz w:val="23"/>
          <w:szCs w:val="23"/>
        </w:rPr>
        <w:t xml:space="preserve">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was dissolved on </w:t>
      </w:r>
      <w:r>
        <w:rPr>
          <w:rFonts w:ascii="Arial" w:hAnsi="Arial" w:cs="Arial"/>
          <w:color w:val="auto"/>
          <w:sz w:val="23"/>
          <w:szCs w:val="23"/>
        </w:rPr>
        <w:t>2</w:t>
      </w:r>
      <w:r w:rsidRPr="0064686B">
        <w:rPr>
          <w:rFonts w:ascii="Arial" w:hAnsi="Arial" w:cs="Arial"/>
          <w:color w:val="auto"/>
          <w:sz w:val="23"/>
          <w:szCs w:val="23"/>
          <w:vertAlign w:val="superscript"/>
        </w:rPr>
        <w:t>nd</w:t>
      </w:r>
      <w:r>
        <w:rPr>
          <w:rFonts w:ascii="Arial" w:hAnsi="Arial" w:cs="Arial"/>
          <w:color w:val="auto"/>
          <w:sz w:val="23"/>
          <w:szCs w:val="23"/>
        </w:rPr>
        <w:t xml:space="preserve"> July 2019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9F370B" w:rsidRPr="009F370B">
        <w:rPr>
          <w:rFonts w:ascii="Arial" w:hAnsi="Arial" w:cs="Arial"/>
          <w:b/>
          <w:bCs/>
          <w:color w:val="auto"/>
          <w:sz w:val="23"/>
          <w:szCs w:val="23"/>
        </w:rPr>
        <w:t>Effective Date</w:t>
      </w:r>
      <w:r w:rsidR="009F370B">
        <w:rPr>
          <w:rFonts w:ascii="Arial" w:hAnsi="Arial" w:cs="Arial"/>
          <w:color w:val="auto"/>
          <w:sz w:val="23"/>
          <w:szCs w:val="23"/>
        </w:rPr>
        <w:t>”).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FDE83D8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</w:t>
      </w:r>
      <w:r w:rsidR="009F370B">
        <w:rPr>
          <w:rFonts w:ascii="Arial" w:hAnsi="Arial" w:cs="Arial"/>
          <w:color w:val="auto"/>
          <w:sz w:val="23"/>
          <w:szCs w:val="23"/>
        </w:rPr>
        <w:t>confirm that, following the closure of the Employer,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the Trustee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will </w:t>
      </w:r>
      <w:r w:rsidR="00C63C24">
        <w:rPr>
          <w:rFonts w:ascii="Arial" w:hAnsi="Arial" w:cs="Arial"/>
          <w:color w:val="auto"/>
          <w:sz w:val="23"/>
          <w:szCs w:val="23"/>
        </w:rPr>
        <w:t>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9F370B">
        <w:rPr>
          <w:rFonts w:ascii="Arial" w:hAnsi="Arial" w:cs="Arial"/>
          <w:color w:val="auto"/>
          <w:sz w:val="23"/>
          <w:szCs w:val="23"/>
        </w:rPr>
        <w:t>, and to confirm that all powers formerly vested in the Employer are now fully vested in the Trustee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65C28AD8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E03E18">
        <w:rPr>
          <w:rFonts w:ascii="Arial" w:hAnsi="Arial" w:cs="Arial"/>
          <w:color w:val="auto"/>
          <w:sz w:val="23"/>
          <w:szCs w:val="23"/>
        </w:rPr>
        <w:t xml:space="preserve">It is further resolved that,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following the liquidation/dissolution/administration of the Employer on the Effective Date, and </w:t>
      </w:r>
      <w:r w:rsidRPr="00E03E18">
        <w:rPr>
          <w:rFonts w:ascii="Arial" w:hAnsi="Arial" w:cs="Arial"/>
          <w:color w:val="auto"/>
          <w:sz w:val="23"/>
          <w:szCs w:val="23"/>
        </w:rPr>
        <w:t xml:space="preserve">under rule </w:t>
      </w:r>
      <w:r w:rsidR="0064686B">
        <w:rPr>
          <w:rFonts w:ascii="Arial" w:hAnsi="Arial" w:cs="Arial"/>
          <w:color w:val="auto"/>
          <w:sz w:val="23"/>
          <w:szCs w:val="23"/>
        </w:rPr>
        <w:t>11</w:t>
      </w:r>
      <w:r w:rsidRPr="00E03E18">
        <w:rPr>
          <w:rFonts w:ascii="Arial" w:hAnsi="Arial" w:cs="Arial"/>
          <w:color w:val="auto"/>
          <w:sz w:val="23"/>
          <w:szCs w:val="23"/>
        </w:rPr>
        <w:t>.</w:t>
      </w:r>
      <w:r w:rsidR="0064686B">
        <w:rPr>
          <w:rFonts w:ascii="Arial" w:hAnsi="Arial" w:cs="Arial"/>
          <w:color w:val="auto"/>
          <w:sz w:val="23"/>
          <w:szCs w:val="23"/>
        </w:rPr>
        <w:t>3</w:t>
      </w:r>
      <w:r w:rsidRPr="00E03E18">
        <w:rPr>
          <w:rFonts w:ascii="Arial" w:hAnsi="Arial" w:cs="Arial"/>
          <w:color w:val="auto"/>
          <w:sz w:val="23"/>
          <w:szCs w:val="23"/>
        </w:rPr>
        <w:t xml:space="preserve"> of the Existing Provisions, </w:t>
      </w:r>
      <w:r w:rsidR="00C63C24">
        <w:rPr>
          <w:rFonts w:ascii="Arial" w:hAnsi="Arial" w:cs="Arial"/>
          <w:color w:val="auto"/>
          <w:sz w:val="23"/>
          <w:szCs w:val="23"/>
        </w:rPr>
        <w:t>all powers and discretions vested in the Employer are now vested solely and entirely in the Trustees</w:t>
      </w:r>
      <w:r w:rsidR="0019516B">
        <w:rPr>
          <w:rFonts w:ascii="Arial" w:hAnsi="Arial" w:cs="Arial"/>
          <w:color w:val="auto"/>
          <w:sz w:val="23"/>
          <w:szCs w:val="23"/>
        </w:rPr>
        <w:t xml:space="preserve"> effective from the Effective Date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until such time that a replacement principal sponsoring employer is appointed or the Trustee resolve</w:t>
      </w:r>
      <w:r w:rsidR="0064686B">
        <w:rPr>
          <w:rFonts w:ascii="Arial" w:hAnsi="Arial" w:cs="Arial"/>
          <w:color w:val="auto"/>
          <w:sz w:val="23"/>
          <w:szCs w:val="23"/>
        </w:rPr>
        <w:t>s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otherwise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478FFB3D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</w:t>
      </w:r>
      <w:r w:rsidR="009F370B">
        <w:rPr>
          <w:rFonts w:ascii="Arial" w:hAnsi="Arial" w:cs="Arial"/>
          <w:sz w:val="23"/>
          <w:szCs w:val="23"/>
        </w:rPr>
        <w:t>p</w:t>
      </w:r>
      <w:r w:rsidR="002B0860">
        <w:rPr>
          <w:rFonts w:ascii="Arial" w:hAnsi="Arial" w:cs="Arial"/>
          <w:sz w:val="23"/>
          <w:szCs w:val="23"/>
        </w:rPr>
        <w:t xml:space="preserve">rincipal </w:t>
      </w:r>
      <w:r w:rsidR="009F370B">
        <w:rPr>
          <w:rFonts w:ascii="Arial" w:hAnsi="Arial" w:cs="Arial"/>
          <w:sz w:val="23"/>
          <w:szCs w:val="23"/>
        </w:rPr>
        <w:t>sponsoring e</w:t>
      </w:r>
      <w:r w:rsidR="002B0860">
        <w:rPr>
          <w:rFonts w:ascii="Arial" w:hAnsi="Arial" w:cs="Arial"/>
          <w:sz w:val="23"/>
          <w:szCs w:val="23"/>
        </w:rPr>
        <w:t xml:space="preserve">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>or the Trustee resolve</w:t>
      </w:r>
      <w:r w:rsidR="0064686B">
        <w:rPr>
          <w:rFonts w:ascii="Arial" w:hAnsi="Arial" w:cs="Arial"/>
          <w:sz w:val="23"/>
          <w:szCs w:val="23"/>
        </w:rPr>
        <w:t>s</w:t>
      </w:r>
      <w:r w:rsidR="002B086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4F29EE51" w:rsidR="00FC3202" w:rsidRDefault="00FC3202" w:rsidP="00B958B3">
      <w:pPr>
        <w:rPr>
          <w:rFonts w:ascii="Arial" w:hAnsi="Arial" w:cs="Arial"/>
          <w:sz w:val="23"/>
          <w:szCs w:val="23"/>
        </w:rPr>
      </w:pPr>
    </w:p>
    <w:p w14:paraId="16A86CF9" w14:textId="5669543D" w:rsidR="00E03E18" w:rsidRDefault="00E03E18" w:rsidP="00B958B3">
      <w:pPr>
        <w:rPr>
          <w:rFonts w:ascii="Arial" w:hAnsi="Arial" w:cs="Arial"/>
          <w:sz w:val="23"/>
          <w:szCs w:val="23"/>
        </w:rPr>
      </w:pPr>
    </w:p>
    <w:p w14:paraId="21D18273" w14:textId="77777777" w:rsidR="00E03E18" w:rsidRPr="00883A22" w:rsidRDefault="00E03E18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5592A72" w14:textId="79EAAA35" w:rsidR="00E03E18" w:rsidRDefault="00E03E1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6543B41" w14:textId="77777777" w:rsidR="00E03E18" w:rsidRDefault="00E03E1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35C3669C" w:rsidR="003B4927" w:rsidRPr="00474CF3" w:rsidRDefault="0064686B" w:rsidP="00B958B3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474CF3">
        <w:rPr>
          <w:rFonts w:ascii="Arial" w:hAnsi="Arial" w:cs="Arial"/>
          <w:b/>
          <w:bCs/>
          <w:sz w:val="23"/>
          <w:szCs w:val="23"/>
        </w:rPr>
        <w:t>Neil William</w:t>
      </w:r>
      <w:r w:rsidRPr="00474CF3">
        <w:rPr>
          <w:rFonts w:ascii="Arial" w:hAnsi="Arial" w:cs="Arial"/>
          <w:b/>
          <w:bCs/>
          <w:sz w:val="23"/>
          <w:szCs w:val="23"/>
        </w:rPr>
        <w:t xml:space="preserve"> </w:t>
      </w:r>
      <w:r w:rsidRPr="00474CF3">
        <w:rPr>
          <w:rFonts w:ascii="Arial" w:hAnsi="Arial" w:cs="Arial"/>
          <w:b/>
          <w:bCs/>
          <w:sz w:val="23"/>
          <w:szCs w:val="23"/>
        </w:rPr>
        <w:t>Graham</w:t>
      </w:r>
      <w:r w:rsidR="002B0860" w:rsidRPr="00474CF3">
        <w:rPr>
          <w:rFonts w:ascii="Arial" w:hAnsi="Arial" w:cs="Arial"/>
          <w:b/>
          <w:bCs/>
          <w:sz w:val="23"/>
          <w:szCs w:val="23"/>
        </w:rPr>
        <w:tab/>
      </w:r>
      <w:r w:rsidR="002B0860" w:rsidRPr="00474CF3">
        <w:rPr>
          <w:rFonts w:ascii="Arial" w:hAnsi="Arial" w:cs="Arial"/>
          <w:b/>
          <w:bCs/>
          <w:sz w:val="23"/>
          <w:szCs w:val="23"/>
        </w:rPr>
        <w:tab/>
      </w:r>
      <w:r w:rsidR="002B0860" w:rsidRPr="00474CF3">
        <w:rPr>
          <w:rFonts w:ascii="Arial" w:hAnsi="Arial" w:cs="Arial"/>
          <w:b/>
          <w:bCs/>
          <w:sz w:val="23"/>
          <w:szCs w:val="23"/>
        </w:rPr>
        <w:tab/>
      </w:r>
      <w:r w:rsidR="002B0860" w:rsidRPr="00474CF3">
        <w:rPr>
          <w:rFonts w:ascii="Arial" w:hAnsi="Arial" w:cs="Arial"/>
          <w:b/>
          <w:bCs/>
          <w:sz w:val="23"/>
          <w:szCs w:val="23"/>
        </w:rPr>
        <w:tab/>
      </w:r>
      <w:r w:rsidR="002B0860" w:rsidRPr="00474CF3">
        <w:rPr>
          <w:rFonts w:ascii="Arial" w:hAnsi="Arial" w:cs="Arial"/>
          <w:b/>
          <w:bCs/>
          <w:sz w:val="23"/>
          <w:szCs w:val="23"/>
        </w:rPr>
        <w:tab/>
      </w:r>
      <w:r w:rsidR="002B0860" w:rsidRPr="00474CF3">
        <w:rPr>
          <w:rFonts w:ascii="Arial" w:hAnsi="Arial" w:cs="Arial"/>
          <w:b/>
          <w:bCs/>
          <w:sz w:val="23"/>
          <w:szCs w:val="23"/>
        </w:rPr>
        <w:tab/>
      </w:r>
    </w:p>
    <w:p w14:paraId="6751992E" w14:textId="233371DB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64686B">
        <w:rPr>
          <w:rFonts w:ascii="Arial" w:hAnsi="Arial" w:cs="Arial"/>
          <w:sz w:val="23"/>
          <w:szCs w:val="23"/>
        </w:rPr>
        <w:t>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</w:p>
    <w:p w14:paraId="406E72B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0A3EAD"/>
    <w:rsid w:val="001273FA"/>
    <w:rsid w:val="001924AC"/>
    <w:rsid w:val="0019516B"/>
    <w:rsid w:val="001B1782"/>
    <w:rsid w:val="002610EA"/>
    <w:rsid w:val="00297D33"/>
    <w:rsid w:val="002A4544"/>
    <w:rsid w:val="002B0860"/>
    <w:rsid w:val="002D09F3"/>
    <w:rsid w:val="003B4927"/>
    <w:rsid w:val="00407E29"/>
    <w:rsid w:val="00474CF3"/>
    <w:rsid w:val="00547C2A"/>
    <w:rsid w:val="005C0E02"/>
    <w:rsid w:val="005D1FD4"/>
    <w:rsid w:val="005D53F7"/>
    <w:rsid w:val="0064686B"/>
    <w:rsid w:val="006959A5"/>
    <w:rsid w:val="006E4A98"/>
    <w:rsid w:val="00746ABA"/>
    <w:rsid w:val="007555E2"/>
    <w:rsid w:val="00776B8F"/>
    <w:rsid w:val="007C34CD"/>
    <w:rsid w:val="00853D5A"/>
    <w:rsid w:val="00887B53"/>
    <w:rsid w:val="008B5FE7"/>
    <w:rsid w:val="009E7369"/>
    <w:rsid w:val="009F370B"/>
    <w:rsid w:val="009F3B7D"/>
    <w:rsid w:val="00A61E58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E03E18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Nick</cp:lastModifiedBy>
  <cp:revision>3</cp:revision>
  <cp:lastPrinted>2018-08-24T11:42:00Z</cp:lastPrinted>
  <dcterms:created xsi:type="dcterms:W3CDTF">2021-09-08T15:04:00Z</dcterms:created>
  <dcterms:modified xsi:type="dcterms:W3CDTF">2021-09-08T15:04:00Z</dcterms:modified>
</cp:coreProperties>
</file>