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BDDB" w14:textId="13F2F1AF" w:rsidR="005F5BEC" w:rsidRDefault="006807AC">
      <w:pPr>
        <w:jc w:val="center"/>
      </w:pPr>
      <w:r>
        <w:rPr>
          <w:b/>
        </w:rPr>
        <w:t>Joel 2 vs25-27 Pension Scheme</w:t>
      </w:r>
    </w:p>
    <w:p w14:paraId="7FE7434F" w14:textId="77777777" w:rsidR="005F5BEC" w:rsidRDefault="005F5BEC"/>
    <w:p w14:paraId="660E3C36" w14:textId="6FA148AE" w:rsidR="005F5BEC" w:rsidRDefault="001767CE">
      <w:r>
        <w:t xml:space="preserve">Minutes of a meeting of the </w:t>
      </w:r>
      <w:r w:rsidR="006D0E1C">
        <w:t>T</w:t>
      </w:r>
      <w:r>
        <w:t xml:space="preserve">rustees of the </w:t>
      </w:r>
      <w:r w:rsidR="006807AC">
        <w:rPr>
          <w:b/>
        </w:rPr>
        <w:t>Joel 2 vs25-27 Pension Scheme</w:t>
      </w:r>
      <w:r w:rsidR="009C4690">
        <w:rPr>
          <w:b/>
        </w:rPr>
        <w:t xml:space="preserve"> </w:t>
      </w:r>
      <w:r>
        <w:t xml:space="preserve">(the </w:t>
      </w:r>
      <w:r w:rsidR="009C4690">
        <w:t>“</w:t>
      </w:r>
      <w:r>
        <w:rPr>
          <w:b/>
        </w:rPr>
        <w:t>Scheme</w:t>
      </w:r>
      <w:r w:rsidR="009C4690">
        <w:rPr>
          <w:b/>
        </w:rPr>
        <w:t>”</w:t>
      </w:r>
      <w:r>
        <w:t xml:space="preserve">) held at </w:t>
      </w:r>
      <w:r w:rsidR="006807AC">
        <w:t xml:space="preserve">254 </w:t>
      </w:r>
      <w:proofErr w:type="spellStart"/>
      <w:r w:rsidR="006807AC">
        <w:t>Berglen</w:t>
      </w:r>
      <w:proofErr w:type="spellEnd"/>
      <w:r w:rsidR="006807AC">
        <w:t xml:space="preserve"> Court, 7 Branch Road, London, E14 7JZ</w:t>
      </w:r>
      <w:r w:rsidR="006D0E1C">
        <w:t xml:space="preserve"> on </w:t>
      </w:r>
      <w:r w:rsidR="009E7403">
        <w:t>10</w:t>
      </w:r>
      <w:r w:rsidR="006807AC" w:rsidRPr="006807AC">
        <w:rPr>
          <w:vertAlign w:val="superscript"/>
        </w:rPr>
        <w:t>th</w:t>
      </w:r>
      <w:r w:rsidR="006807AC">
        <w:t xml:space="preserve"> </w:t>
      </w:r>
      <w:r w:rsidR="009E7403">
        <w:t>August</w:t>
      </w:r>
      <w:r w:rsidR="006807AC">
        <w:t xml:space="preserve"> 2021</w:t>
      </w:r>
      <w:r w:rsidR="006D0E1C">
        <w:t>.</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12CEA89" w14:textId="77777777" w:rsidR="005F5BEC" w:rsidRDefault="006807AC">
            <w:pPr>
              <w:spacing w:after="240"/>
            </w:pPr>
            <w:r>
              <w:t>Stephen Heath</w:t>
            </w:r>
          </w:p>
          <w:p w14:paraId="05EC0F2F" w14:textId="0A4BA925" w:rsidR="006807AC" w:rsidRDefault="006807AC">
            <w:pPr>
              <w:spacing w:after="240"/>
            </w:pPr>
            <w:r>
              <w:t>Trisha Theodore-Heath</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35268077"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9E7403">
        <w:rPr>
          <w:color w:val="000000"/>
        </w:rPr>
        <w:t>6</w:t>
      </w:r>
      <w:r w:rsidR="006807AC">
        <w:rPr>
          <w:color w:val="000000"/>
        </w:rPr>
        <w:t>5</w:t>
      </w:r>
      <w:r w:rsidR="007D563A">
        <w:rPr>
          <w:color w:val="000000"/>
        </w:rPr>
        <w:t>,000</w:t>
      </w:r>
      <w:r>
        <w:rPr>
          <w:color w:val="000000"/>
        </w:rPr>
        <w:t xml:space="preserve"> (the </w:t>
      </w:r>
      <w:r>
        <w:rPr>
          <w:b/>
          <w:color w:val="000000"/>
        </w:rPr>
        <w:t>Loan</w:t>
      </w:r>
      <w:r>
        <w:rPr>
          <w:color w:val="000000"/>
        </w:rPr>
        <w:t xml:space="preserve">) to </w:t>
      </w:r>
      <w:r w:rsidR="006807AC" w:rsidRPr="006807AC">
        <w:rPr>
          <w:b/>
          <w:bCs/>
          <w:color w:val="000000"/>
        </w:rPr>
        <w:t xml:space="preserve">Fontana </w:t>
      </w:r>
      <w:r w:rsidR="000D54AF">
        <w:rPr>
          <w:b/>
          <w:bCs/>
          <w:color w:val="000000"/>
        </w:rPr>
        <w:t>Properties Ltd</w:t>
      </w:r>
      <w:r>
        <w:rPr>
          <w:color w:val="000000"/>
        </w:rPr>
        <w:t xml:space="preserve"> (the </w:t>
      </w:r>
      <w:r>
        <w:rPr>
          <w:b/>
          <w:color w:val="000000"/>
        </w:rPr>
        <w:t>Borrower</w:t>
      </w:r>
      <w:r>
        <w:rPr>
          <w:color w:val="000000"/>
        </w:rPr>
        <w:t>).</w:t>
      </w:r>
    </w:p>
    <w:p w14:paraId="22B03A96" w14:textId="6EE8188D"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6807AC">
        <w:t xml:space="preserve">a registered </w:t>
      </w:r>
      <w:r w:rsidR="009E7403">
        <w:t>limited company</w:t>
      </w:r>
      <w:r>
        <w:t>.</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05A1F775" w:rsidR="005F5BEC" w:rsidRDefault="001767CE">
      <w:pPr>
        <w:numPr>
          <w:ilvl w:val="2"/>
          <w:numId w:val="1"/>
        </w:numPr>
        <w:pBdr>
          <w:top w:val="nil"/>
          <w:left w:val="nil"/>
          <w:bottom w:val="nil"/>
          <w:right w:val="nil"/>
          <w:between w:val="nil"/>
        </w:pBdr>
        <w:spacing w:after="240" w:line="312" w:lineRule="auto"/>
        <w:rPr>
          <w:color w:val="000000"/>
        </w:rPr>
      </w:pPr>
      <w:r>
        <w:rPr>
          <w:color w:val="000000"/>
        </w:rPr>
        <w:t xml:space="preserve">a loan agreement between the Scheme and the </w:t>
      </w:r>
      <w:proofErr w:type="gramStart"/>
      <w:r>
        <w:rPr>
          <w:color w:val="000000"/>
        </w:rPr>
        <w:t>Borrower;</w:t>
      </w:r>
      <w:proofErr w:type="gramEnd"/>
      <w:r w:rsidR="006D0E1C">
        <w:rPr>
          <w:color w:val="000000"/>
        </w:rPr>
        <w:t xml:space="preserve"> </w:t>
      </w:r>
    </w:p>
    <w:p w14:paraId="59ACCE99" w14:textId="2EC37F44" w:rsidR="006807AC" w:rsidRDefault="006807AC" w:rsidP="006807AC">
      <w:pPr>
        <w:numPr>
          <w:ilvl w:val="2"/>
          <w:numId w:val="1"/>
        </w:numPr>
        <w:pBdr>
          <w:top w:val="nil"/>
          <w:left w:val="nil"/>
          <w:bottom w:val="nil"/>
          <w:right w:val="nil"/>
          <w:between w:val="nil"/>
        </w:pBdr>
        <w:spacing w:after="240" w:line="312" w:lineRule="auto"/>
        <w:rPr>
          <w:color w:val="000000"/>
        </w:rPr>
      </w:pPr>
      <w:r w:rsidRPr="006807AC">
        <w:rPr>
          <w:color w:val="000000"/>
        </w:rPr>
        <w:t xml:space="preserve">a personal guarantee </w:t>
      </w:r>
      <w:r>
        <w:rPr>
          <w:color w:val="000000"/>
        </w:rPr>
        <w:t xml:space="preserve">(the </w:t>
      </w:r>
      <w:r w:rsidRPr="006807AC">
        <w:rPr>
          <w:b/>
          <w:bCs/>
          <w:color w:val="000000"/>
        </w:rPr>
        <w:t>PG</w:t>
      </w:r>
      <w:r>
        <w:rPr>
          <w:color w:val="000000"/>
        </w:rPr>
        <w:t xml:space="preserve">) </w:t>
      </w:r>
      <w:r w:rsidRPr="006807AC">
        <w:rPr>
          <w:color w:val="000000"/>
        </w:rPr>
        <w:t xml:space="preserve">issued by a trustee of the Borrower </w:t>
      </w:r>
      <w:r>
        <w:rPr>
          <w:color w:val="000000"/>
        </w:rPr>
        <w:t xml:space="preserve">(the </w:t>
      </w:r>
      <w:r w:rsidRPr="006807AC">
        <w:rPr>
          <w:b/>
          <w:bCs/>
          <w:color w:val="000000"/>
        </w:rPr>
        <w:t>Guarantor</w:t>
      </w:r>
      <w:r>
        <w:rPr>
          <w:color w:val="000000"/>
        </w:rPr>
        <w:t xml:space="preserve">) </w:t>
      </w:r>
      <w:r w:rsidRPr="006807AC">
        <w:rPr>
          <w:color w:val="000000"/>
        </w:rPr>
        <w:t>securing the Loan against the trustee’s personal assets; and</w:t>
      </w:r>
    </w:p>
    <w:p w14:paraId="768F3CB6" w14:textId="3764DDA8" w:rsidR="006807AC" w:rsidRDefault="006807AC" w:rsidP="006807AC">
      <w:pPr>
        <w:numPr>
          <w:ilvl w:val="2"/>
          <w:numId w:val="1"/>
        </w:numPr>
        <w:pBdr>
          <w:top w:val="nil"/>
          <w:left w:val="nil"/>
          <w:bottom w:val="nil"/>
          <w:right w:val="nil"/>
          <w:between w:val="nil"/>
        </w:pBdr>
        <w:spacing w:after="240" w:line="312" w:lineRule="auto"/>
        <w:rPr>
          <w:color w:val="000000"/>
        </w:rPr>
      </w:pPr>
      <w:r>
        <w:rPr>
          <w:color w:val="000000"/>
        </w:rPr>
        <w:t>a schedule of net personal assets of the Guarantor.</w:t>
      </w:r>
    </w:p>
    <w:p w14:paraId="64AAB368" w14:textId="557EA510" w:rsidR="005F5BEC" w:rsidRPr="006807AC" w:rsidRDefault="001767CE" w:rsidP="006807AC">
      <w:pPr>
        <w:pBdr>
          <w:top w:val="nil"/>
          <w:left w:val="nil"/>
          <w:bottom w:val="nil"/>
          <w:right w:val="nil"/>
          <w:between w:val="nil"/>
        </w:pBdr>
        <w:spacing w:after="240" w:line="312" w:lineRule="auto"/>
        <w:ind w:left="1984"/>
        <w:rPr>
          <w:color w:val="000000"/>
        </w:rPr>
      </w:pPr>
      <w:r w:rsidRPr="006807AC">
        <w:rPr>
          <w:color w:val="000000"/>
        </w:rPr>
        <w:t>(</w:t>
      </w:r>
      <w:proofErr w:type="gramStart"/>
      <w:r w:rsidRPr="006807AC">
        <w:rPr>
          <w:color w:val="000000"/>
        </w:rPr>
        <w:t>together</w:t>
      </w:r>
      <w:proofErr w:type="gramEnd"/>
      <w:r w:rsidRPr="006807AC">
        <w:rPr>
          <w:color w:val="000000"/>
        </w:rPr>
        <w:t xml:space="preserve">, the </w:t>
      </w:r>
      <w:r w:rsidRPr="006807AC">
        <w:rPr>
          <w:b/>
          <w:color w:val="000000"/>
        </w:rPr>
        <w:t>Documents</w:t>
      </w:r>
      <w:r w:rsidRPr="006807AC">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24D1F9C6" w:rsidR="00210023" w:rsidRDefault="00210023">
      <w:pPr>
        <w:numPr>
          <w:ilvl w:val="1"/>
          <w:numId w:val="1"/>
        </w:numPr>
        <w:pBdr>
          <w:top w:val="nil"/>
          <w:left w:val="nil"/>
          <w:bottom w:val="nil"/>
          <w:right w:val="nil"/>
          <w:between w:val="nil"/>
        </w:pBdr>
        <w:spacing w:after="240" w:line="312" w:lineRule="auto"/>
        <w:rPr>
          <w:color w:val="000000"/>
        </w:rPr>
      </w:pPr>
      <w:r>
        <w:rPr>
          <w:color w:val="000000"/>
        </w:rPr>
        <w:t xml:space="preserve">The Trustees have assured themselves that the </w:t>
      </w:r>
      <w:r w:rsidR="006D0E1C">
        <w:rPr>
          <w:color w:val="000000"/>
        </w:rPr>
        <w:t xml:space="preserve">advancement of the </w:t>
      </w:r>
      <w:r>
        <w:rPr>
          <w:color w:val="000000"/>
        </w:rPr>
        <w:t xml:space="preserve">Loan </w:t>
      </w:r>
      <w:r w:rsidR="006D0E1C">
        <w:rPr>
          <w:color w:val="000000"/>
        </w:rPr>
        <w:t xml:space="preserve">to the Borrower </w:t>
      </w:r>
      <w:r>
        <w:rPr>
          <w:color w:val="000000"/>
        </w:rPr>
        <w:t>will not compromise HMRC lending rules.</w:t>
      </w:r>
    </w:p>
    <w:p w14:paraId="1362661F" w14:textId="07D8C51F" w:rsidR="001A1982" w:rsidRDefault="001A1982">
      <w:pPr>
        <w:numPr>
          <w:ilvl w:val="1"/>
          <w:numId w:val="1"/>
        </w:numPr>
        <w:pBdr>
          <w:top w:val="nil"/>
          <w:left w:val="nil"/>
          <w:bottom w:val="nil"/>
          <w:right w:val="nil"/>
          <w:between w:val="nil"/>
        </w:pBdr>
        <w:spacing w:after="240" w:line="312" w:lineRule="auto"/>
        <w:rPr>
          <w:color w:val="000000"/>
        </w:rPr>
      </w:pPr>
      <w:r>
        <w:rPr>
          <w:color w:val="000000"/>
        </w:rPr>
        <w:t xml:space="preserve">The Trustees have satisfied themselves that the value of the </w:t>
      </w:r>
      <w:r w:rsidR="006D0E1C">
        <w:rPr>
          <w:color w:val="000000"/>
        </w:rPr>
        <w:t xml:space="preserve">assets covered by the proposed </w:t>
      </w:r>
      <w:r w:rsidR="006807AC">
        <w:rPr>
          <w:color w:val="000000"/>
        </w:rPr>
        <w:t xml:space="preserve">PG </w:t>
      </w:r>
      <w:r>
        <w:rPr>
          <w:color w:val="000000"/>
        </w:rPr>
        <w:t>is sufficient to provide security for the Loan.</w:t>
      </w:r>
    </w:p>
    <w:p w14:paraId="562DF218" w14:textId="220EF02F"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conferred by Trust Deed and Rules for the Scheme to approve the Documents and that the </w:t>
      </w:r>
      <w:r w:rsidR="00210023">
        <w:rPr>
          <w:color w:val="000000"/>
        </w:rPr>
        <w:t>T</w:t>
      </w:r>
      <w:r>
        <w:rPr>
          <w:color w:val="000000"/>
        </w:rPr>
        <w:t xml:space="preserve">rustees be authorised to </w:t>
      </w:r>
      <w:proofErr w:type="gramStart"/>
      <w:r>
        <w:rPr>
          <w:color w:val="000000"/>
        </w:rPr>
        <w:t>signed</w:t>
      </w:r>
      <w:proofErr w:type="gramEnd"/>
      <w:r>
        <w:rPr>
          <w:color w:val="000000"/>
        </w:rPr>
        <w:t xml:space="preserve">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lastRenderedPageBreak/>
        <w:t xml:space="preserve">Electronic signatures adopted in accordance with Electronic Signatures Regulation 2002 (SI 2002 No. 318), whether digital or encrypted, by </w:t>
      </w:r>
      <w:proofErr w:type="gramStart"/>
      <w:r>
        <w:rPr>
          <w:highlight w:val="white"/>
        </w:rPr>
        <w:t>any and all</w:t>
      </w:r>
      <w:proofErr w:type="gramEnd"/>
      <w:r>
        <w:rPr>
          <w:highlight w:val="white"/>
        </w:rPr>
        <w:t xml:space="preserve">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610CF4F8" w:rsidR="00210023" w:rsidRDefault="006807AC" w:rsidP="00505703">
      <w:pPr>
        <w:pBdr>
          <w:top w:val="nil"/>
          <w:left w:val="nil"/>
          <w:bottom w:val="nil"/>
          <w:right w:val="nil"/>
          <w:between w:val="nil"/>
        </w:pBdr>
        <w:spacing w:after="240" w:line="312" w:lineRule="auto"/>
        <w:contextualSpacing/>
        <w:rPr>
          <w:color w:val="000000"/>
        </w:rPr>
      </w:pPr>
      <w:r>
        <w:t>Stephen Heath</w:t>
      </w:r>
      <w:r>
        <w:tab/>
      </w:r>
      <w:r>
        <w:tab/>
      </w:r>
      <w:r>
        <w:tab/>
      </w:r>
      <w:r>
        <w:tab/>
      </w:r>
      <w:r>
        <w:tab/>
      </w:r>
      <w:r>
        <w:tab/>
        <w:t>Trisha Theodore-Heath</w:t>
      </w:r>
    </w:p>
    <w:p w14:paraId="07627261" w14:textId="7B029D3F"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w:t>
      </w:r>
      <w:r w:rsidR="006D0E1C">
        <w:rPr>
          <w:color w:val="000000"/>
        </w:rPr>
        <w:t>E</w:t>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r>
      <w:proofErr w:type="spellStart"/>
      <w:r w:rsidR="006807AC">
        <w:rPr>
          <w:color w:val="000000"/>
        </w:rPr>
        <w:t>TRUSTEE</w:t>
      </w:r>
      <w:proofErr w:type="spellEnd"/>
    </w:p>
    <w:p w14:paraId="0B714BFF" w14:textId="147D2020"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1F461EBA" w14:textId="60159AC3"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2557" w14:textId="77777777" w:rsidR="009F0A38" w:rsidRDefault="009F0A38">
      <w:r>
        <w:separator/>
      </w:r>
    </w:p>
  </w:endnote>
  <w:endnote w:type="continuationSeparator" w:id="0">
    <w:p w14:paraId="7F3E1423" w14:textId="77777777" w:rsidR="009F0A38" w:rsidRDefault="009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D374" w14:textId="77777777" w:rsidR="009F0A38" w:rsidRDefault="009F0A38">
      <w:r>
        <w:separator/>
      </w:r>
    </w:p>
  </w:footnote>
  <w:footnote w:type="continuationSeparator" w:id="0">
    <w:p w14:paraId="6706C70B" w14:textId="77777777" w:rsidR="009F0A38" w:rsidRDefault="009F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14CCA"/>
    <w:rsid w:val="0002335A"/>
    <w:rsid w:val="00044F17"/>
    <w:rsid w:val="00053CBB"/>
    <w:rsid w:val="000D54AF"/>
    <w:rsid w:val="00136F00"/>
    <w:rsid w:val="001767CE"/>
    <w:rsid w:val="001A1982"/>
    <w:rsid w:val="00210023"/>
    <w:rsid w:val="0021331D"/>
    <w:rsid w:val="002369DE"/>
    <w:rsid w:val="002470EF"/>
    <w:rsid w:val="004D0AEB"/>
    <w:rsid w:val="00505703"/>
    <w:rsid w:val="00511BBD"/>
    <w:rsid w:val="0053144E"/>
    <w:rsid w:val="0054177D"/>
    <w:rsid w:val="00567B75"/>
    <w:rsid w:val="005F5BEC"/>
    <w:rsid w:val="006807AC"/>
    <w:rsid w:val="006D0E1C"/>
    <w:rsid w:val="00727C36"/>
    <w:rsid w:val="007D563A"/>
    <w:rsid w:val="008E6AC9"/>
    <w:rsid w:val="009C4690"/>
    <w:rsid w:val="009E7403"/>
    <w:rsid w:val="009F0A38"/>
    <w:rsid w:val="00C17D44"/>
    <w:rsid w:val="00E00566"/>
    <w:rsid w:val="00F22EC8"/>
    <w:rsid w:val="00F26C41"/>
    <w:rsid w:val="00F5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15</cp:revision>
  <dcterms:created xsi:type="dcterms:W3CDTF">2019-03-25T15:28:00Z</dcterms:created>
  <dcterms:modified xsi:type="dcterms:W3CDTF">2021-08-10T12:26:00Z</dcterms:modified>
</cp:coreProperties>
</file>