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color w:val="000000"/>
          <w:sz w:val="23"/>
          <w:szCs w:val="23"/>
        </w:rPr>
      </w:pPr>
    </w:p>
    <w:p w:rsidR="00BC6BFB" w:rsidRPr="008F2511" w:rsidRDefault="00BC6BFB" w:rsidP="00BC6BFB">
      <w:pPr>
        <w:jc w:val="center"/>
        <w:rPr>
          <w:rStyle w:val="IntenseEmphasis"/>
          <w:rFonts w:asciiTheme="minorHAnsi" w:hAnsiTheme="minorHAnsi"/>
          <w:color w:val="000000"/>
          <w:sz w:val="23"/>
          <w:szCs w:val="23"/>
        </w:rPr>
      </w:pPr>
      <w:r w:rsidRPr="008F2511">
        <w:rPr>
          <w:rStyle w:val="IntenseEmphasis"/>
          <w:rFonts w:asciiTheme="minorHAnsi" w:hAnsiTheme="minorHAnsi"/>
          <w:color w:val="000000"/>
          <w:sz w:val="23"/>
          <w:szCs w:val="23"/>
        </w:rPr>
        <w:t>Report to the Trustees</w:t>
      </w:r>
    </w:p>
    <w:p w:rsidR="000F21A7" w:rsidRPr="008F2511" w:rsidRDefault="00BC6BFB" w:rsidP="00BC6BFB">
      <w:pPr>
        <w:jc w:val="center"/>
        <w:rPr>
          <w:rStyle w:val="IntenseEmphasis"/>
          <w:rFonts w:asciiTheme="minorHAnsi" w:hAnsiTheme="minorHAnsi"/>
          <w:color w:val="000000"/>
          <w:sz w:val="23"/>
          <w:szCs w:val="23"/>
        </w:rPr>
      </w:pPr>
      <w:proofErr w:type="gramStart"/>
      <w:r w:rsidRPr="008F2511">
        <w:rPr>
          <w:rStyle w:val="IntenseEmphasis"/>
          <w:rFonts w:asciiTheme="minorHAnsi" w:hAnsiTheme="minorHAnsi"/>
          <w:color w:val="000000"/>
          <w:sz w:val="23"/>
          <w:szCs w:val="23"/>
        </w:rPr>
        <w:t>on</w:t>
      </w:r>
      <w:proofErr w:type="gramEnd"/>
      <w:r w:rsidRPr="008F2511">
        <w:rPr>
          <w:rStyle w:val="IntenseEmphasis"/>
          <w:rFonts w:asciiTheme="minorHAnsi" w:hAnsiTheme="minorHAnsi"/>
          <w:color w:val="000000"/>
          <w:sz w:val="23"/>
          <w:szCs w:val="23"/>
        </w:rPr>
        <w:t xml:space="preserve"> the takeover of</w:t>
      </w:r>
    </w:p>
    <w:p w:rsidR="007C0EA4" w:rsidRPr="00BB0ADE" w:rsidRDefault="007C0EA4" w:rsidP="007C0EA4">
      <w:pPr>
        <w:pStyle w:val="WW-Default"/>
        <w:snapToGrid w:val="0"/>
        <w:jc w:val="center"/>
        <w:rPr>
          <w:rFonts w:asciiTheme="minorHAnsi" w:hAnsiTheme="minorHAnsi"/>
          <w:b/>
          <w:sz w:val="23"/>
          <w:szCs w:val="23"/>
        </w:rPr>
      </w:pPr>
      <w:r w:rsidRPr="00BB0ADE">
        <w:rPr>
          <w:rFonts w:asciiTheme="minorHAnsi" w:hAnsiTheme="minorHAnsi"/>
          <w:b/>
          <w:sz w:val="23"/>
          <w:szCs w:val="23"/>
        </w:rPr>
        <w:t>John Dingle Project Planning Ltd Retirement Benefits Scheme</w:t>
      </w: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178F" w:rsidRPr="008F2511" w:rsidRDefault="00BC178F" w:rsidP="00BC6BFB">
      <w:pPr>
        <w:jc w:val="center"/>
        <w:rPr>
          <w:rFonts w:asciiTheme="minorHAnsi" w:hAnsiTheme="minorHAnsi"/>
          <w:sz w:val="23"/>
          <w:szCs w:val="23"/>
        </w:rPr>
      </w:pPr>
    </w:p>
    <w:p w:rsidR="00BC178F" w:rsidRPr="008F2511" w:rsidRDefault="00BC178F" w:rsidP="00BC6BFB">
      <w:pPr>
        <w:jc w:val="center"/>
        <w:rPr>
          <w:rFonts w:asciiTheme="minorHAnsi" w:hAnsiTheme="minorHAnsi"/>
          <w:sz w:val="23"/>
          <w:szCs w:val="23"/>
        </w:rPr>
      </w:pPr>
    </w:p>
    <w:p w:rsidR="007C0EA4" w:rsidRPr="008F2511" w:rsidRDefault="007C0EA4"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pStyle w:val="Title"/>
        <w:rPr>
          <w:rFonts w:asciiTheme="minorHAnsi" w:hAnsiTheme="minorHAnsi"/>
          <w:i/>
          <w:color w:val="4F81BD"/>
          <w:sz w:val="23"/>
          <w:szCs w:val="23"/>
        </w:rPr>
      </w:pPr>
      <w:r w:rsidRPr="008F2511">
        <w:rPr>
          <w:rFonts w:asciiTheme="minorHAnsi" w:hAnsiTheme="minorHAnsi"/>
          <w:i/>
          <w:color w:val="4F81BD"/>
          <w:sz w:val="23"/>
          <w:szCs w:val="23"/>
        </w:rPr>
        <w:lastRenderedPageBreak/>
        <w:t>Index</w:t>
      </w:r>
    </w:p>
    <w:p w:rsidR="00BC6BFB" w:rsidRPr="008F2511" w:rsidRDefault="00BC6BFB" w:rsidP="00BC6BFB">
      <w:pPr>
        <w:jc w:val="center"/>
        <w:rPr>
          <w:rFonts w:asciiTheme="minorHAnsi" w:hAnsiTheme="minorHAnsi"/>
          <w:sz w:val="23"/>
          <w:szCs w:val="23"/>
        </w:rPr>
      </w:pPr>
      <w:r w:rsidRPr="008F2511">
        <w:rPr>
          <w:rFonts w:asciiTheme="minorHAnsi" w:hAnsiTheme="minorHAnsi"/>
          <w:sz w:val="23"/>
          <w:szCs w:val="23"/>
        </w:rPr>
        <w:t xml:space="preserve"> </w:t>
      </w:r>
    </w:p>
    <w:p w:rsidR="00BC6BFB" w:rsidRPr="008F2511" w:rsidRDefault="00BC6BFB" w:rsidP="00BC6BFB">
      <w:pPr>
        <w:pStyle w:val="Heading2"/>
        <w:numPr>
          <w:ilvl w:val="0"/>
          <w:numId w:val="3"/>
        </w:numPr>
        <w:rPr>
          <w:rStyle w:val="IntenseEmphasis"/>
          <w:rFonts w:asciiTheme="minorHAnsi" w:hAnsiTheme="minorHAnsi"/>
          <w:i w:val="0"/>
          <w:color w:val="000000"/>
          <w:sz w:val="23"/>
          <w:szCs w:val="23"/>
        </w:rPr>
      </w:pPr>
      <w:r w:rsidRPr="008F2511">
        <w:rPr>
          <w:rStyle w:val="IntenseEmphasis"/>
          <w:rFonts w:asciiTheme="minorHAnsi" w:hAnsiTheme="minorHAnsi"/>
          <w:i w:val="0"/>
          <w:color w:val="000000"/>
          <w:sz w:val="23"/>
          <w:szCs w:val="23"/>
        </w:rPr>
        <w:t>Introduction</w:t>
      </w:r>
    </w:p>
    <w:p w:rsidR="00BC6BFB" w:rsidRPr="008F2511" w:rsidRDefault="00BC6BFB" w:rsidP="00BC6BFB">
      <w:pPr>
        <w:pStyle w:val="Heading2"/>
        <w:numPr>
          <w:ilvl w:val="0"/>
          <w:numId w:val="3"/>
        </w:numPr>
        <w:rPr>
          <w:rStyle w:val="IntenseEmphasis"/>
          <w:rFonts w:asciiTheme="minorHAnsi" w:hAnsiTheme="minorHAnsi"/>
          <w:i w:val="0"/>
          <w:color w:val="000000"/>
          <w:sz w:val="23"/>
          <w:szCs w:val="23"/>
        </w:rPr>
      </w:pPr>
      <w:r w:rsidRPr="008F2511">
        <w:rPr>
          <w:rStyle w:val="IntenseEmphasis"/>
          <w:rFonts w:asciiTheme="minorHAnsi" w:hAnsiTheme="minorHAnsi"/>
          <w:i w:val="0"/>
          <w:color w:val="000000"/>
          <w:sz w:val="23"/>
          <w:szCs w:val="23"/>
        </w:rPr>
        <w:t>Pension Schemes Online</w:t>
      </w:r>
    </w:p>
    <w:p w:rsidR="00BC6BFB" w:rsidRDefault="00BC6BFB" w:rsidP="00BC6BFB">
      <w:pPr>
        <w:pStyle w:val="Heading2"/>
        <w:numPr>
          <w:ilvl w:val="0"/>
          <w:numId w:val="3"/>
        </w:numPr>
        <w:rPr>
          <w:rStyle w:val="IntenseEmphasis"/>
          <w:rFonts w:asciiTheme="minorHAnsi" w:hAnsiTheme="minorHAnsi"/>
          <w:i w:val="0"/>
          <w:color w:val="000000"/>
          <w:sz w:val="23"/>
          <w:szCs w:val="23"/>
        </w:rPr>
      </w:pPr>
      <w:r w:rsidRPr="008F2511">
        <w:rPr>
          <w:rStyle w:val="IntenseEmphasis"/>
          <w:rFonts w:asciiTheme="minorHAnsi" w:hAnsiTheme="minorHAnsi"/>
          <w:i w:val="0"/>
          <w:color w:val="000000"/>
          <w:sz w:val="23"/>
          <w:szCs w:val="23"/>
        </w:rPr>
        <w:t>Investments</w:t>
      </w:r>
    </w:p>
    <w:p w:rsidR="000702BA" w:rsidRPr="000702BA" w:rsidRDefault="000702BA" w:rsidP="000702BA">
      <w:pPr>
        <w:pStyle w:val="Heading2"/>
        <w:numPr>
          <w:ilvl w:val="0"/>
          <w:numId w:val="3"/>
        </w:numPr>
      </w:pPr>
      <w:r w:rsidRPr="000702BA">
        <w:rPr>
          <w:rStyle w:val="IntenseEmphasis"/>
          <w:rFonts w:asciiTheme="minorHAnsi" w:hAnsiTheme="minorHAnsi"/>
          <w:i w:val="0"/>
          <w:color w:val="000000"/>
          <w:sz w:val="23"/>
          <w:szCs w:val="23"/>
        </w:rPr>
        <w:t>Scheme Rules</w:t>
      </w:r>
    </w:p>
    <w:p w:rsidR="0089150D" w:rsidRPr="008F2511" w:rsidRDefault="0089150D" w:rsidP="0089150D">
      <w:pPr>
        <w:pStyle w:val="Heading2"/>
        <w:numPr>
          <w:ilvl w:val="0"/>
          <w:numId w:val="3"/>
        </w:numPr>
        <w:rPr>
          <w:rStyle w:val="IntenseEmphasis"/>
          <w:rFonts w:asciiTheme="minorHAnsi" w:hAnsiTheme="minorHAnsi"/>
          <w:i w:val="0"/>
          <w:color w:val="000000"/>
          <w:sz w:val="23"/>
          <w:szCs w:val="23"/>
        </w:rPr>
      </w:pPr>
      <w:r w:rsidRPr="008F2511">
        <w:rPr>
          <w:rStyle w:val="IntenseEmphasis"/>
          <w:rFonts w:asciiTheme="minorHAnsi" w:hAnsiTheme="minorHAnsi"/>
          <w:i w:val="0"/>
          <w:color w:val="000000"/>
          <w:sz w:val="23"/>
          <w:szCs w:val="23"/>
        </w:rPr>
        <w:t>Scheme Review</w:t>
      </w:r>
    </w:p>
    <w:p w:rsidR="00853D11" w:rsidRPr="008F2511" w:rsidRDefault="00853D11" w:rsidP="00853D11">
      <w:pPr>
        <w:rPr>
          <w:rFonts w:asciiTheme="minorHAnsi" w:hAnsiTheme="minorHAnsi"/>
          <w:sz w:val="23"/>
          <w:szCs w:val="23"/>
        </w:rPr>
      </w:pPr>
    </w:p>
    <w:p w:rsidR="00853D11" w:rsidRPr="008F2511" w:rsidRDefault="00853D11" w:rsidP="00853D11">
      <w:pPr>
        <w:rPr>
          <w:rFonts w:asciiTheme="minorHAnsi" w:hAnsiTheme="minorHAnsi"/>
          <w:sz w:val="23"/>
          <w:szCs w:val="23"/>
        </w:rPr>
      </w:pPr>
    </w:p>
    <w:p w:rsidR="00250D5A" w:rsidRPr="008F2511" w:rsidRDefault="00250D5A" w:rsidP="00250D5A">
      <w:pPr>
        <w:pStyle w:val="Heading2"/>
        <w:ind w:left="720"/>
        <w:rPr>
          <w:rFonts w:asciiTheme="minorHAnsi" w:hAnsiTheme="minorHAnsi"/>
          <w:b w:val="0"/>
          <w:i/>
          <w:iCs/>
          <w:color w:val="000000"/>
          <w:sz w:val="23"/>
          <w:szCs w:val="23"/>
        </w:rPr>
      </w:pPr>
    </w:p>
    <w:p w:rsidR="00BC6BFB" w:rsidRPr="008F2511" w:rsidRDefault="00BC6BFB" w:rsidP="006A3B9C">
      <w:pPr>
        <w:pStyle w:val="Heading2"/>
        <w:ind w:left="720"/>
        <w:rPr>
          <w:rStyle w:val="IntenseEmphasis"/>
          <w:rFonts w:asciiTheme="minorHAnsi" w:hAnsiTheme="minorHAnsi"/>
          <w:color w:val="000000"/>
          <w:sz w:val="23"/>
          <w:szCs w:val="23"/>
        </w:rPr>
      </w:pPr>
    </w:p>
    <w:p w:rsidR="006A3B9C" w:rsidRPr="008F2511" w:rsidRDefault="006A3B9C" w:rsidP="006A3B9C">
      <w:pP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BC6BFB" w:rsidRPr="008F2511" w:rsidRDefault="00BC6BFB" w:rsidP="00BC6BFB">
      <w:pPr>
        <w:jc w:val="center"/>
        <w:rPr>
          <w:rFonts w:asciiTheme="minorHAnsi" w:hAnsiTheme="minorHAnsi"/>
          <w:sz w:val="23"/>
          <w:szCs w:val="23"/>
        </w:rPr>
      </w:pPr>
    </w:p>
    <w:p w:rsidR="008E2BAE" w:rsidRPr="008F2511" w:rsidRDefault="008E2BAE" w:rsidP="00BC6BFB">
      <w:pPr>
        <w:jc w:val="center"/>
        <w:rPr>
          <w:rFonts w:asciiTheme="minorHAnsi" w:hAnsiTheme="minorHAnsi"/>
          <w:sz w:val="23"/>
          <w:szCs w:val="23"/>
        </w:rPr>
      </w:pPr>
    </w:p>
    <w:p w:rsidR="0089150D" w:rsidRPr="008F2511" w:rsidRDefault="0089150D" w:rsidP="00BC6BFB">
      <w:pPr>
        <w:jc w:val="center"/>
        <w:rPr>
          <w:rFonts w:asciiTheme="minorHAnsi" w:hAnsiTheme="minorHAnsi"/>
          <w:sz w:val="23"/>
          <w:szCs w:val="23"/>
        </w:rPr>
      </w:pPr>
    </w:p>
    <w:p w:rsidR="0089150D" w:rsidRPr="008F2511" w:rsidRDefault="0089150D" w:rsidP="00BC6BFB">
      <w:pPr>
        <w:jc w:val="center"/>
        <w:rPr>
          <w:rFonts w:asciiTheme="minorHAnsi" w:hAnsiTheme="minorHAnsi"/>
          <w:sz w:val="23"/>
          <w:szCs w:val="23"/>
        </w:rPr>
      </w:pPr>
    </w:p>
    <w:p w:rsidR="0089150D" w:rsidRDefault="0089150D" w:rsidP="00BC6BFB">
      <w:pPr>
        <w:jc w:val="center"/>
        <w:rPr>
          <w:rFonts w:asciiTheme="minorHAnsi" w:hAnsiTheme="minorHAnsi"/>
          <w:sz w:val="23"/>
          <w:szCs w:val="23"/>
        </w:rPr>
      </w:pPr>
    </w:p>
    <w:p w:rsidR="003F7EBA" w:rsidRDefault="003F7EBA" w:rsidP="00BC6BFB">
      <w:pPr>
        <w:jc w:val="center"/>
        <w:rPr>
          <w:rFonts w:asciiTheme="minorHAnsi" w:hAnsiTheme="minorHAnsi"/>
          <w:sz w:val="23"/>
          <w:szCs w:val="23"/>
        </w:rPr>
      </w:pPr>
    </w:p>
    <w:p w:rsidR="003F7EBA" w:rsidRDefault="003F7EBA" w:rsidP="00BC6BFB">
      <w:pPr>
        <w:jc w:val="center"/>
        <w:rPr>
          <w:rFonts w:asciiTheme="minorHAnsi" w:hAnsiTheme="minorHAnsi"/>
          <w:sz w:val="23"/>
          <w:szCs w:val="23"/>
        </w:rPr>
      </w:pPr>
    </w:p>
    <w:p w:rsidR="003F7EBA" w:rsidRPr="008F2511" w:rsidRDefault="003F7EBA" w:rsidP="00BC6BFB">
      <w:pPr>
        <w:jc w:val="center"/>
        <w:rPr>
          <w:rFonts w:asciiTheme="minorHAnsi" w:hAnsiTheme="minorHAnsi"/>
          <w:sz w:val="23"/>
          <w:szCs w:val="23"/>
        </w:rPr>
      </w:pPr>
    </w:p>
    <w:p w:rsidR="00BC6BFB" w:rsidRPr="008F2511" w:rsidRDefault="00BC6BFB" w:rsidP="00BC6BFB">
      <w:pPr>
        <w:pStyle w:val="Title"/>
        <w:rPr>
          <w:rFonts w:asciiTheme="minorHAnsi" w:hAnsiTheme="minorHAnsi"/>
          <w:sz w:val="23"/>
          <w:szCs w:val="23"/>
        </w:rPr>
      </w:pPr>
    </w:p>
    <w:p w:rsidR="00BC6BFB" w:rsidRPr="008F2511" w:rsidRDefault="00BC6BFB" w:rsidP="00BC6BFB">
      <w:pPr>
        <w:pStyle w:val="Subtitle"/>
        <w:numPr>
          <w:ilvl w:val="0"/>
          <w:numId w:val="11"/>
        </w:numPr>
        <w:rPr>
          <w:rFonts w:asciiTheme="minorHAnsi" w:hAnsiTheme="minorHAnsi"/>
          <w:sz w:val="23"/>
          <w:szCs w:val="23"/>
        </w:rPr>
      </w:pPr>
      <w:r w:rsidRPr="008F2511">
        <w:rPr>
          <w:rFonts w:asciiTheme="minorHAnsi" w:hAnsiTheme="minorHAnsi"/>
          <w:sz w:val="23"/>
          <w:szCs w:val="23"/>
        </w:rPr>
        <w:t>Introduction</w:t>
      </w:r>
    </w:p>
    <w:p w:rsidR="00425EAE" w:rsidRPr="008F2511" w:rsidRDefault="00C23F29" w:rsidP="00425EAE">
      <w:pPr>
        <w:jc w:val="both"/>
        <w:rPr>
          <w:rFonts w:asciiTheme="minorHAnsi" w:hAnsiTheme="minorHAnsi"/>
          <w:sz w:val="23"/>
          <w:szCs w:val="23"/>
        </w:rPr>
      </w:pPr>
      <w:r w:rsidRPr="008F2511">
        <w:rPr>
          <w:rFonts w:asciiTheme="minorHAnsi" w:hAnsiTheme="minorHAnsi"/>
          <w:sz w:val="23"/>
          <w:szCs w:val="23"/>
        </w:rPr>
        <w:t>Following your appointment of Pension Practitioner .Com to provide administration services to the Trustees, we have prepared a report notifying the changes that have been made.</w:t>
      </w:r>
      <w:r w:rsidR="00425EAE" w:rsidRPr="008F2511">
        <w:rPr>
          <w:rFonts w:asciiTheme="minorHAnsi" w:hAnsiTheme="minorHAnsi"/>
          <w:sz w:val="23"/>
          <w:szCs w:val="23"/>
        </w:rPr>
        <w:t xml:space="preserve"> This report also provides information on:</w:t>
      </w:r>
    </w:p>
    <w:p w:rsidR="00425EAE" w:rsidRPr="008F2511" w:rsidRDefault="00425EAE" w:rsidP="00425EAE">
      <w:pPr>
        <w:numPr>
          <w:ilvl w:val="0"/>
          <w:numId w:val="18"/>
        </w:numPr>
        <w:jc w:val="both"/>
        <w:rPr>
          <w:rFonts w:asciiTheme="minorHAnsi" w:hAnsiTheme="minorHAnsi"/>
          <w:sz w:val="23"/>
          <w:szCs w:val="23"/>
        </w:rPr>
      </w:pPr>
      <w:r w:rsidRPr="008F2511">
        <w:rPr>
          <w:rFonts w:asciiTheme="minorHAnsi" w:hAnsiTheme="minorHAnsi"/>
          <w:sz w:val="23"/>
          <w:szCs w:val="23"/>
        </w:rPr>
        <w:t xml:space="preserve">The registration of </w:t>
      </w:r>
      <w:r w:rsidR="007E6B41" w:rsidRPr="008F2511">
        <w:rPr>
          <w:rFonts w:asciiTheme="minorHAnsi" w:hAnsiTheme="minorHAnsi"/>
          <w:sz w:val="23"/>
          <w:szCs w:val="23"/>
        </w:rPr>
        <w:t>the scheme</w:t>
      </w:r>
      <w:r w:rsidRPr="008F2511">
        <w:rPr>
          <w:rFonts w:asciiTheme="minorHAnsi" w:hAnsiTheme="minorHAnsi"/>
          <w:sz w:val="23"/>
          <w:szCs w:val="23"/>
        </w:rPr>
        <w:t xml:space="preserve"> for pension schemes on-line with HMRC</w:t>
      </w:r>
    </w:p>
    <w:p w:rsidR="00DD7ECC" w:rsidRPr="008F2511" w:rsidRDefault="00DD7ECC" w:rsidP="00425EAE">
      <w:pPr>
        <w:numPr>
          <w:ilvl w:val="0"/>
          <w:numId w:val="18"/>
        </w:numPr>
        <w:jc w:val="both"/>
        <w:rPr>
          <w:rFonts w:asciiTheme="minorHAnsi" w:hAnsiTheme="minorHAnsi"/>
          <w:sz w:val="23"/>
          <w:szCs w:val="23"/>
        </w:rPr>
      </w:pPr>
      <w:r w:rsidRPr="008F2511">
        <w:rPr>
          <w:rFonts w:asciiTheme="minorHAnsi" w:hAnsiTheme="minorHAnsi"/>
          <w:sz w:val="23"/>
          <w:szCs w:val="23"/>
        </w:rPr>
        <w:t xml:space="preserve">A review of the </w:t>
      </w:r>
      <w:r w:rsidR="00FE225F">
        <w:rPr>
          <w:rFonts w:asciiTheme="minorHAnsi" w:hAnsiTheme="minorHAnsi"/>
          <w:sz w:val="23"/>
          <w:szCs w:val="23"/>
        </w:rPr>
        <w:t xml:space="preserve">new </w:t>
      </w:r>
      <w:r w:rsidR="00327D4D">
        <w:rPr>
          <w:rFonts w:asciiTheme="minorHAnsi" w:hAnsiTheme="minorHAnsi"/>
          <w:sz w:val="23"/>
          <w:szCs w:val="23"/>
        </w:rPr>
        <w:t>regulations</w:t>
      </w:r>
      <w:r w:rsidRPr="008F2511">
        <w:rPr>
          <w:rFonts w:asciiTheme="minorHAnsi" w:hAnsiTheme="minorHAnsi"/>
          <w:sz w:val="23"/>
          <w:szCs w:val="23"/>
        </w:rPr>
        <w:t xml:space="preserve"> governing the scheme</w:t>
      </w:r>
    </w:p>
    <w:p w:rsidR="00425EAE" w:rsidRPr="008F2511" w:rsidRDefault="00425EAE" w:rsidP="00425EAE">
      <w:pPr>
        <w:numPr>
          <w:ilvl w:val="0"/>
          <w:numId w:val="18"/>
        </w:numPr>
        <w:jc w:val="both"/>
        <w:rPr>
          <w:rFonts w:asciiTheme="minorHAnsi" w:hAnsiTheme="minorHAnsi"/>
          <w:sz w:val="23"/>
          <w:szCs w:val="23"/>
        </w:rPr>
      </w:pPr>
      <w:r w:rsidRPr="008F2511">
        <w:rPr>
          <w:rFonts w:asciiTheme="minorHAnsi" w:hAnsiTheme="minorHAnsi"/>
          <w:sz w:val="23"/>
          <w:szCs w:val="23"/>
        </w:rPr>
        <w:t>The next scheme review</w:t>
      </w:r>
    </w:p>
    <w:p w:rsidR="00C23F29" w:rsidRPr="008F2511" w:rsidRDefault="00425EAE" w:rsidP="00BC6BFB">
      <w:pPr>
        <w:jc w:val="both"/>
        <w:rPr>
          <w:rFonts w:asciiTheme="minorHAnsi" w:hAnsiTheme="minorHAnsi"/>
          <w:sz w:val="23"/>
          <w:szCs w:val="23"/>
        </w:rPr>
      </w:pPr>
      <w:r w:rsidRPr="008F2511">
        <w:rPr>
          <w:rFonts w:asciiTheme="minorHAnsi" w:hAnsiTheme="minorHAnsi"/>
          <w:sz w:val="23"/>
          <w:szCs w:val="23"/>
        </w:rPr>
        <w:t>Our takeover service ensures that:</w:t>
      </w:r>
    </w:p>
    <w:p w:rsidR="00C23F29" w:rsidRPr="008F2511" w:rsidRDefault="00425EAE" w:rsidP="00425EAE">
      <w:pPr>
        <w:numPr>
          <w:ilvl w:val="0"/>
          <w:numId w:val="17"/>
        </w:numPr>
        <w:jc w:val="both"/>
        <w:rPr>
          <w:rFonts w:asciiTheme="minorHAnsi" w:hAnsiTheme="minorHAnsi"/>
          <w:sz w:val="23"/>
          <w:szCs w:val="23"/>
        </w:rPr>
      </w:pPr>
      <w:r w:rsidRPr="008F2511">
        <w:rPr>
          <w:rFonts w:asciiTheme="minorHAnsi" w:hAnsiTheme="minorHAnsi"/>
          <w:sz w:val="23"/>
          <w:szCs w:val="23"/>
        </w:rPr>
        <w:t>A</w:t>
      </w:r>
      <w:r w:rsidR="00C23F29" w:rsidRPr="008F2511">
        <w:rPr>
          <w:rFonts w:asciiTheme="minorHAnsi" w:hAnsiTheme="minorHAnsi"/>
          <w:sz w:val="23"/>
          <w:szCs w:val="23"/>
        </w:rPr>
        <w:t xml:space="preserve">ll investments are </w:t>
      </w:r>
      <w:r w:rsidRPr="008F2511">
        <w:rPr>
          <w:rFonts w:asciiTheme="minorHAnsi" w:hAnsiTheme="minorHAnsi"/>
          <w:sz w:val="23"/>
          <w:szCs w:val="23"/>
        </w:rPr>
        <w:t xml:space="preserve">registered </w:t>
      </w:r>
      <w:r w:rsidR="00C23F29" w:rsidRPr="008F2511">
        <w:rPr>
          <w:rFonts w:asciiTheme="minorHAnsi" w:hAnsiTheme="minorHAnsi"/>
          <w:sz w:val="23"/>
          <w:szCs w:val="23"/>
        </w:rPr>
        <w:t>in t</w:t>
      </w:r>
      <w:r w:rsidR="006A3B9C" w:rsidRPr="008F2511">
        <w:rPr>
          <w:rFonts w:asciiTheme="minorHAnsi" w:hAnsiTheme="minorHAnsi"/>
          <w:sz w:val="23"/>
          <w:szCs w:val="23"/>
        </w:rPr>
        <w:t>he names of the member trustees</w:t>
      </w:r>
    </w:p>
    <w:p w:rsidR="00C23F29" w:rsidRPr="008F2511" w:rsidRDefault="00425EAE" w:rsidP="00425EAE">
      <w:pPr>
        <w:numPr>
          <w:ilvl w:val="0"/>
          <w:numId w:val="17"/>
        </w:numPr>
        <w:jc w:val="both"/>
        <w:rPr>
          <w:rFonts w:asciiTheme="minorHAnsi" w:hAnsiTheme="minorHAnsi"/>
          <w:sz w:val="23"/>
          <w:szCs w:val="23"/>
        </w:rPr>
      </w:pPr>
      <w:r w:rsidRPr="008F2511">
        <w:rPr>
          <w:rFonts w:asciiTheme="minorHAnsi" w:hAnsiTheme="minorHAnsi"/>
          <w:sz w:val="23"/>
          <w:szCs w:val="23"/>
        </w:rPr>
        <w:t>To allow the t</w:t>
      </w:r>
      <w:r w:rsidR="00C23F29" w:rsidRPr="008F2511">
        <w:rPr>
          <w:rFonts w:asciiTheme="minorHAnsi" w:hAnsiTheme="minorHAnsi"/>
          <w:sz w:val="23"/>
          <w:szCs w:val="23"/>
        </w:rPr>
        <w:t>rustees to view on-line information regarding their scheme and the w</w:t>
      </w:r>
      <w:r w:rsidR="006A3B9C" w:rsidRPr="008F2511">
        <w:rPr>
          <w:rFonts w:asciiTheme="minorHAnsi" w:hAnsiTheme="minorHAnsi"/>
          <w:sz w:val="23"/>
          <w:szCs w:val="23"/>
        </w:rPr>
        <w:t>ork we carry out on your behalf</w:t>
      </w:r>
    </w:p>
    <w:p w:rsidR="00C23F29" w:rsidRPr="008F2511" w:rsidRDefault="00C23F29" w:rsidP="00425EAE">
      <w:pPr>
        <w:numPr>
          <w:ilvl w:val="0"/>
          <w:numId w:val="17"/>
        </w:numPr>
        <w:jc w:val="both"/>
        <w:rPr>
          <w:rFonts w:asciiTheme="minorHAnsi" w:hAnsiTheme="minorHAnsi"/>
          <w:sz w:val="23"/>
          <w:szCs w:val="23"/>
        </w:rPr>
      </w:pPr>
      <w:r w:rsidRPr="008F2511">
        <w:rPr>
          <w:rFonts w:asciiTheme="minorHAnsi" w:hAnsiTheme="minorHAnsi"/>
          <w:sz w:val="23"/>
          <w:szCs w:val="23"/>
        </w:rPr>
        <w:t xml:space="preserve">To </w:t>
      </w:r>
      <w:r w:rsidR="00425EAE" w:rsidRPr="008F2511">
        <w:rPr>
          <w:rFonts w:asciiTheme="minorHAnsi" w:hAnsiTheme="minorHAnsi"/>
          <w:sz w:val="23"/>
          <w:szCs w:val="23"/>
        </w:rPr>
        <w:t>ensure that the administration process is simplified</w:t>
      </w:r>
    </w:p>
    <w:p w:rsidR="00425EAE" w:rsidRPr="008F2511" w:rsidRDefault="00425EAE" w:rsidP="00425EAE">
      <w:pPr>
        <w:numPr>
          <w:ilvl w:val="0"/>
          <w:numId w:val="17"/>
        </w:numPr>
        <w:jc w:val="both"/>
        <w:rPr>
          <w:rFonts w:asciiTheme="minorHAnsi" w:hAnsiTheme="minorHAnsi"/>
          <w:sz w:val="23"/>
          <w:szCs w:val="23"/>
        </w:rPr>
      </w:pPr>
      <w:r w:rsidRPr="008F2511">
        <w:rPr>
          <w:rFonts w:asciiTheme="minorHAnsi" w:hAnsiTheme="minorHAnsi"/>
          <w:sz w:val="23"/>
          <w:szCs w:val="23"/>
        </w:rPr>
        <w:t>To provide value for money to the Trustees</w:t>
      </w:r>
    </w:p>
    <w:p w:rsidR="007E6B41" w:rsidRPr="008F2511" w:rsidRDefault="007E6B41" w:rsidP="00425EAE">
      <w:pPr>
        <w:numPr>
          <w:ilvl w:val="0"/>
          <w:numId w:val="17"/>
        </w:numPr>
        <w:jc w:val="both"/>
        <w:rPr>
          <w:rFonts w:asciiTheme="minorHAnsi" w:hAnsiTheme="minorHAnsi"/>
          <w:sz w:val="23"/>
          <w:szCs w:val="23"/>
        </w:rPr>
      </w:pPr>
      <w:r w:rsidRPr="008F2511">
        <w:rPr>
          <w:rFonts w:asciiTheme="minorHAnsi" w:hAnsiTheme="minorHAnsi"/>
          <w:sz w:val="23"/>
          <w:szCs w:val="23"/>
        </w:rPr>
        <w:t>To ensure that the rules of the scheme reflect current pension law</w:t>
      </w:r>
      <w:r w:rsidR="00DD7ECC" w:rsidRPr="008F2511">
        <w:rPr>
          <w:rFonts w:asciiTheme="minorHAnsi" w:hAnsiTheme="minorHAnsi"/>
          <w:sz w:val="23"/>
          <w:szCs w:val="23"/>
        </w:rPr>
        <w:t xml:space="preserve"> and give the trustees sufficient powers to ensure that the scheme is kept tax efficient. </w:t>
      </w:r>
    </w:p>
    <w:p w:rsidR="00425EAE" w:rsidRPr="008F2511" w:rsidRDefault="00425EAE" w:rsidP="00425EAE">
      <w:pPr>
        <w:ind w:left="720"/>
        <w:jc w:val="both"/>
        <w:rPr>
          <w:rFonts w:asciiTheme="minorHAnsi" w:hAnsiTheme="minorHAnsi"/>
          <w:sz w:val="23"/>
          <w:szCs w:val="23"/>
        </w:rPr>
      </w:pPr>
    </w:p>
    <w:p w:rsidR="002A6517" w:rsidRPr="008F2511" w:rsidRDefault="002A6517" w:rsidP="00BC6BFB">
      <w:pPr>
        <w:jc w:val="both"/>
        <w:rPr>
          <w:rFonts w:asciiTheme="minorHAnsi" w:hAnsiTheme="minorHAnsi"/>
          <w:sz w:val="23"/>
          <w:szCs w:val="23"/>
        </w:rPr>
      </w:pPr>
    </w:p>
    <w:p w:rsidR="002A6517" w:rsidRPr="008F2511" w:rsidRDefault="002A6517" w:rsidP="00BC6BFB">
      <w:pPr>
        <w:jc w:val="both"/>
        <w:rPr>
          <w:rFonts w:asciiTheme="minorHAnsi" w:hAnsiTheme="minorHAnsi"/>
          <w:sz w:val="23"/>
          <w:szCs w:val="23"/>
        </w:rPr>
      </w:pPr>
    </w:p>
    <w:p w:rsidR="002A6517" w:rsidRPr="008F2511" w:rsidRDefault="002A6517" w:rsidP="00BC6BFB">
      <w:pPr>
        <w:jc w:val="both"/>
        <w:rPr>
          <w:rFonts w:asciiTheme="minorHAnsi" w:hAnsiTheme="minorHAnsi"/>
          <w:sz w:val="23"/>
          <w:szCs w:val="23"/>
        </w:rPr>
      </w:pPr>
    </w:p>
    <w:p w:rsidR="002A6517" w:rsidRPr="008F2511" w:rsidRDefault="002A6517" w:rsidP="00BC6BFB">
      <w:pPr>
        <w:jc w:val="both"/>
        <w:rPr>
          <w:rFonts w:asciiTheme="minorHAnsi" w:hAnsiTheme="minorHAnsi"/>
          <w:sz w:val="23"/>
          <w:szCs w:val="23"/>
        </w:rPr>
      </w:pPr>
    </w:p>
    <w:p w:rsidR="002A6517" w:rsidRPr="008F2511" w:rsidRDefault="002A6517" w:rsidP="00BC6BFB">
      <w:pPr>
        <w:jc w:val="both"/>
        <w:rPr>
          <w:rFonts w:asciiTheme="minorHAnsi" w:hAnsiTheme="minorHAnsi"/>
          <w:sz w:val="23"/>
          <w:szCs w:val="23"/>
        </w:rPr>
      </w:pPr>
    </w:p>
    <w:p w:rsidR="00672C81" w:rsidRPr="008F2511" w:rsidRDefault="00672C81" w:rsidP="00BC6BFB">
      <w:pPr>
        <w:jc w:val="both"/>
        <w:rPr>
          <w:rFonts w:asciiTheme="minorHAnsi" w:hAnsiTheme="minorHAnsi"/>
          <w:sz w:val="23"/>
          <w:szCs w:val="23"/>
        </w:rPr>
      </w:pPr>
    </w:p>
    <w:p w:rsidR="002A6517" w:rsidRPr="008F2511" w:rsidRDefault="002A6517" w:rsidP="00BC6BFB">
      <w:pPr>
        <w:jc w:val="both"/>
        <w:rPr>
          <w:rFonts w:asciiTheme="minorHAnsi" w:hAnsiTheme="minorHAnsi"/>
          <w:sz w:val="23"/>
          <w:szCs w:val="23"/>
        </w:rPr>
      </w:pPr>
    </w:p>
    <w:p w:rsidR="002A6517" w:rsidRPr="008F2511" w:rsidRDefault="002A6517" w:rsidP="00BC6BFB">
      <w:pPr>
        <w:jc w:val="both"/>
        <w:rPr>
          <w:rFonts w:asciiTheme="minorHAnsi" w:hAnsiTheme="minorHAnsi"/>
          <w:sz w:val="23"/>
          <w:szCs w:val="23"/>
        </w:rPr>
      </w:pPr>
    </w:p>
    <w:p w:rsidR="002A6517" w:rsidRPr="008F2511" w:rsidRDefault="002A6517" w:rsidP="00BC6BFB">
      <w:pPr>
        <w:jc w:val="both"/>
        <w:rPr>
          <w:rFonts w:asciiTheme="minorHAnsi" w:hAnsiTheme="minorHAnsi"/>
          <w:sz w:val="23"/>
          <w:szCs w:val="23"/>
        </w:rPr>
      </w:pPr>
    </w:p>
    <w:p w:rsidR="008F2511" w:rsidRPr="008F2511" w:rsidRDefault="008F2511" w:rsidP="00BC6BFB">
      <w:pPr>
        <w:jc w:val="both"/>
        <w:rPr>
          <w:rFonts w:asciiTheme="minorHAnsi" w:hAnsiTheme="minorHAnsi"/>
          <w:sz w:val="23"/>
          <w:szCs w:val="23"/>
        </w:rPr>
      </w:pPr>
    </w:p>
    <w:p w:rsidR="008F2511" w:rsidRPr="008F2511" w:rsidRDefault="008F2511" w:rsidP="00BC6BFB">
      <w:pPr>
        <w:jc w:val="both"/>
        <w:rPr>
          <w:rFonts w:asciiTheme="minorHAnsi" w:hAnsiTheme="minorHAnsi"/>
          <w:sz w:val="23"/>
          <w:szCs w:val="23"/>
        </w:rPr>
      </w:pPr>
    </w:p>
    <w:p w:rsidR="002A6517" w:rsidRPr="008F2511" w:rsidRDefault="002A6517" w:rsidP="002A6517">
      <w:pPr>
        <w:pStyle w:val="Title"/>
        <w:rPr>
          <w:rFonts w:asciiTheme="minorHAnsi" w:hAnsiTheme="minorHAnsi"/>
          <w:sz w:val="23"/>
          <w:szCs w:val="23"/>
        </w:rPr>
      </w:pPr>
    </w:p>
    <w:p w:rsidR="002A6517" w:rsidRPr="008F2511" w:rsidRDefault="00D9137B" w:rsidP="002A6517">
      <w:pPr>
        <w:pStyle w:val="Subtitle"/>
        <w:numPr>
          <w:ilvl w:val="0"/>
          <w:numId w:val="11"/>
        </w:numPr>
        <w:rPr>
          <w:rFonts w:asciiTheme="minorHAnsi" w:hAnsiTheme="minorHAnsi"/>
          <w:sz w:val="23"/>
          <w:szCs w:val="23"/>
        </w:rPr>
      </w:pPr>
      <w:r w:rsidRPr="008F2511">
        <w:rPr>
          <w:rFonts w:asciiTheme="minorHAnsi" w:hAnsiTheme="minorHAnsi"/>
          <w:sz w:val="23"/>
          <w:szCs w:val="23"/>
        </w:rPr>
        <w:t>Pension Schemes On</w:t>
      </w:r>
      <w:r w:rsidR="002A6517" w:rsidRPr="008F2511">
        <w:rPr>
          <w:rFonts w:asciiTheme="minorHAnsi" w:hAnsiTheme="minorHAnsi"/>
          <w:sz w:val="23"/>
          <w:szCs w:val="23"/>
        </w:rPr>
        <w:t>line</w:t>
      </w:r>
      <w:r w:rsidRPr="008F2511">
        <w:rPr>
          <w:rFonts w:asciiTheme="minorHAnsi" w:hAnsiTheme="minorHAnsi"/>
          <w:sz w:val="23"/>
          <w:szCs w:val="23"/>
        </w:rPr>
        <w:t xml:space="preserve"> and Reporting</w:t>
      </w:r>
    </w:p>
    <w:p w:rsidR="007C0EA4" w:rsidRPr="008F2511" w:rsidRDefault="007C0EA4" w:rsidP="008F2511">
      <w:pPr>
        <w:rPr>
          <w:rFonts w:asciiTheme="minorHAnsi" w:hAnsiTheme="minorHAnsi"/>
          <w:sz w:val="23"/>
          <w:szCs w:val="23"/>
        </w:rPr>
      </w:pPr>
      <w:r w:rsidRPr="008F2511">
        <w:rPr>
          <w:rFonts w:asciiTheme="minorHAnsi" w:hAnsiTheme="minorHAnsi"/>
          <w:sz w:val="23"/>
          <w:szCs w:val="23"/>
        </w:rPr>
        <w:t>HMRC have advised that Patricia Lancaster is cited as the Registered Administrator for the pension scheme.</w:t>
      </w:r>
    </w:p>
    <w:p w:rsidR="007C0EA4" w:rsidRPr="008F2511" w:rsidRDefault="007C0EA4" w:rsidP="008F2511">
      <w:pPr>
        <w:rPr>
          <w:rFonts w:asciiTheme="minorHAnsi" w:hAnsiTheme="minorHAnsi"/>
          <w:sz w:val="23"/>
          <w:szCs w:val="23"/>
        </w:rPr>
      </w:pPr>
      <w:r w:rsidRPr="008F2511">
        <w:rPr>
          <w:rFonts w:asciiTheme="minorHAnsi" w:hAnsiTheme="minorHAnsi"/>
          <w:sz w:val="23"/>
          <w:szCs w:val="23"/>
        </w:rPr>
        <w:t>The scheme administrator identity number is A0110343. Whilst this identity number has been issued we have been unable to confirm that it is associated with online services. We have therefore requested HMRC to issue a new login number to the trustees. Please let us have this number on receipt.</w:t>
      </w:r>
    </w:p>
    <w:p w:rsidR="00402E8A" w:rsidRPr="008F2511" w:rsidRDefault="00402E8A" w:rsidP="008F2511">
      <w:pPr>
        <w:rPr>
          <w:rFonts w:asciiTheme="minorHAnsi" w:hAnsiTheme="minorHAnsi"/>
          <w:sz w:val="23"/>
          <w:szCs w:val="23"/>
        </w:rPr>
      </w:pPr>
      <w:r w:rsidRPr="008F2511">
        <w:rPr>
          <w:rFonts w:asciiTheme="minorHAnsi" w:hAnsiTheme="minorHAnsi"/>
          <w:sz w:val="23"/>
          <w:szCs w:val="23"/>
        </w:rPr>
        <w:t xml:space="preserve">We </w:t>
      </w:r>
      <w:r w:rsidR="007E6B41" w:rsidRPr="008F2511">
        <w:rPr>
          <w:rFonts w:asciiTheme="minorHAnsi" w:hAnsiTheme="minorHAnsi"/>
          <w:sz w:val="23"/>
          <w:szCs w:val="23"/>
        </w:rPr>
        <w:t>undertake all reporting and return functions to HM Revenue &amp; Customs, including the returns to the year ending 5</w:t>
      </w:r>
      <w:r w:rsidR="007E6B41" w:rsidRPr="008F2511">
        <w:rPr>
          <w:rFonts w:asciiTheme="minorHAnsi" w:hAnsiTheme="minorHAnsi"/>
          <w:sz w:val="23"/>
          <w:szCs w:val="23"/>
          <w:vertAlign w:val="superscript"/>
        </w:rPr>
        <w:t>th</w:t>
      </w:r>
      <w:r w:rsidR="0089150D" w:rsidRPr="008F2511">
        <w:rPr>
          <w:rFonts w:asciiTheme="minorHAnsi" w:hAnsiTheme="minorHAnsi"/>
          <w:sz w:val="23"/>
          <w:szCs w:val="23"/>
        </w:rPr>
        <w:t xml:space="preserve"> April 20</w:t>
      </w:r>
      <w:r w:rsidR="00B30AD8" w:rsidRPr="008F2511">
        <w:rPr>
          <w:rFonts w:asciiTheme="minorHAnsi" w:hAnsiTheme="minorHAnsi"/>
          <w:sz w:val="23"/>
          <w:szCs w:val="23"/>
        </w:rPr>
        <w:t>1</w:t>
      </w:r>
      <w:r w:rsidR="007C0EA4" w:rsidRPr="008F2511">
        <w:rPr>
          <w:rFonts w:asciiTheme="minorHAnsi" w:hAnsiTheme="minorHAnsi"/>
          <w:sz w:val="23"/>
          <w:szCs w:val="23"/>
        </w:rPr>
        <w:t>1</w:t>
      </w:r>
      <w:r w:rsidR="007E6B41" w:rsidRPr="008F2511">
        <w:rPr>
          <w:rFonts w:asciiTheme="minorHAnsi" w:hAnsiTheme="minorHAnsi"/>
          <w:sz w:val="23"/>
          <w:szCs w:val="23"/>
        </w:rPr>
        <w:t xml:space="preserve">. </w:t>
      </w:r>
      <w:r w:rsidR="006C4DCF" w:rsidRPr="008F2511">
        <w:rPr>
          <w:rFonts w:asciiTheme="minorHAnsi" w:hAnsiTheme="minorHAnsi"/>
          <w:sz w:val="23"/>
          <w:szCs w:val="23"/>
        </w:rPr>
        <w:t xml:space="preserve"> </w:t>
      </w:r>
      <w:r w:rsidR="00D9137B" w:rsidRPr="008F2511">
        <w:rPr>
          <w:rFonts w:asciiTheme="minorHAnsi" w:hAnsiTheme="minorHAnsi"/>
          <w:sz w:val="23"/>
          <w:szCs w:val="23"/>
        </w:rPr>
        <w:t>We have submitted the tax returns to HMRC for the period ending 5 April 2011.</w:t>
      </w:r>
    </w:p>
    <w:p w:rsidR="00D9137B" w:rsidRPr="008F2511" w:rsidRDefault="00D9137B" w:rsidP="005A29DE">
      <w:pPr>
        <w:jc w:val="both"/>
        <w:rPr>
          <w:rFonts w:asciiTheme="minorHAnsi" w:hAnsiTheme="minorHAnsi"/>
          <w:sz w:val="23"/>
          <w:szCs w:val="23"/>
        </w:rPr>
      </w:pPr>
      <w:r w:rsidRPr="008F2511">
        <w:rPr>
          <w:rFonts w:asciiTheme="minorHAnsi" w:hAnsiTheme="minorHAnsi"/>
          <w:sz w:val="23"/>
          <w:szCs w:val="23"/>
        </w:rPr>
        <w:t>The submission made is as follows:</w:t>
      </w:r>
    </w:p>
    <w:p w:rsidR="00D9137B" w:rsidRPr="008F2511" w:rsidRDefault="00D9137B" w:rsidP="00D9137B">
      <w:pPr>
        <w:jc w:val="both"/>
        <w:rPr>
          <w:rFonts w:asciiTheme="minorHAnsi" w:hAnsiTheme="minorHAnsi"/>
          <w:sz w:val="23"/>
          <w:szCs w:val="23"/>
        </w:rPr>
      </w:pPr>
      <w:r w:rsidRPr="008F2511">
        <w:rPr>
          <w:rFonts w:asciiTheme="minorHAnsi" w:hAnsiTheme="minorHAnsi"/>
          <w:sz w:val="23"/>
          <w:szCs w:val="23"/>
        </w:rPr>
        <w:t>Pension Practitioner .Com has submitted the following disclosures:</w:t>
      </w:r>
    </w:p>
    <w:tbl>
      <w:tblPr>
        <w:tblW w:w="1905" w:type="pct"/>
        <w:tblCellSpacing w:w="15" w:type="dxa"/>
        <w:tblCellMar>
          <w:top w:w="15" w:type="dxa"/>
          <w:left w:w="15" w:type="dxa"/>
          <w:bottom w:w="15" w:type="dxa"/>
          <w:right w:w="15" w:type="dxa"/>
        </w:tblCellMar>
        <w:tblLook w:val="04A0"/>
      </w:tblPr>
      <w:tblGrid>
        <w:gridCol w:w="1664"/>
        <w:gridCol w:w="192"/>
        <w:gridCol w:w="1617"/>
      </w:tblGrid>
      <w:tr w:rsidR="00D9137B" w:rsidRPr="008F2511" w:rsidTr="00D9137B">
        <w:trPr>
          <w:tblCellSpacing w:w="15" w:type="dxa"/>
        </w:trPr>
        <w:tc>
          <w:tcPr>
            <w:tcW w:w="2414"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Amended Return</w:t>
            </w:r>
          </w:p>
        </w:tc>
        <w:tc>
          <w:tcPr>
            <w:tcW w:w="242"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No</w:t>
            </w:r>
          </w:p>
        </w:tc>
      </w:tr>
    </w:tbl>
    <w:p w:rsidR="00D9137B" w:rsidRPr="008F2511" w:rsidRDefault="00D9137B" w:rsidP="00D9137B">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3101"/>
        <w:gridCol w:w="336"/>
        <w:gridCol w:w="2796"/>
      </w:tblGrid>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Accounting Period</w:t>
            </w:r>
          </w:p>
        </w:tc>
        <w:tc>
          <w:tcPr>
            <w:tcW w:w="25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31 March 2010 - 05 Apr 2011</w:t>
            </w:r>
          </w:p>
        </w:tc>
      </w:tr>
    </w:tbl>
    <w:p w:rsidR="00D9137B" w:rsidRPr="008F2511" w:rsidRDefault="00D9137B" w:rsidP="00D9137B">
      <w:pPr>
        <w:spacing w:after="0" w:line="240" w:lineRule="auto"/>
        <w:rPr>
          <w:rFonts w:asciiTheme="minorHAnsi" w:eastAsia="Times New Roman" w:hAnsiTheme="minorHAnsi"/>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9137B" w:rsidRPr="008F2511" w:rsidTr="00D9137B">
        <w:trPr>
          <w:tblCellSpacing w:w="15" w:type="dxa"/>
        </w:trPr>
        <w:tc>
          <w:tcPr>
            <w:tcW w:w="2500" w:type="pct"/>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During this period, was the aggregate of payments to and from the scheme greater than £100,000?</w:t>
            </w:r>
          </w:p>
        </w:tc>
        <w:tc>
          <w:tcPr>
            <w:tcW w:w="250" w:type="pct"/>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No - £100,000</w:t>
            </w:r>
          </w:p>
        </w:tc>
      </w:tr>
    </w:tbl>
    <w:p w:rsidR="00D9137B" w:rsidRPr="008F2511" w:rsidRDefault="00D9137B" w:rsidP="00D9137B">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9137B" w:rsidRPr="008F2511" w:rsidTr="00D9137B">
        <w:trPr>
          <w:tblCellSpacing w:w="15" w:type="dxa"/>
        </w:trPr>
        <w:tc>
          <w:tcPr>
            <w:tcW w:w="2500" w:type="pct"/>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At the end of this period, the scheme did not have assets with a total value before pension liabilities greater than £400,000</w:t>
            </w:r>
          </w:p>
        </w:tc>
        <w:tc>
          <w:tcPr>
            <w:tcW w:w="250" w:type="pct"/>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Yes</w:t>
            </w:r>
          </w:p>
        </w:tc>
      </w:tr>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value of assets before pension liabilities at the end of the period</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£917,380</w:t>
            </w:r>
          </w:p>
        </w:tc>
      </w:tr>
    </w:tbl>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Receipts and Payments</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amount of the pension contributions received</w:t>
            </w:r>
          </w:p>
        </w:tc>
        <w:tc>
          <w:tcPr>
            <w:tcW w:w="25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£100,000</w:t>
            </w:r>
          </w:p>
        </w:tc>
      </w:tr>
      <w:tr w:rsidR="00D9137B" w:rsidRPr="008F2511" w:rsidTr="00D9137B">
        <w:trPr>
          <w:tblCellSpacing w:w="15" w:type="dxa"/>
        </w:trPr>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amount of transfer-in payments</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£0</w:t>
            </w:r>
          </w:p>
        </w:tc>
      </w:tr>
      <w:tr w:rsidR="00D9137B" w:rsidRPr="008F2511" w:rsidTr="00D9137B">
        <w:trPr>
          <w:tblCellSpacing w:w="15" w:type="dxa"/>
        </w:trPr>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amount of transfer-out payments</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£0</w:t>
            </w:r>
          </w:p>
        </w:tc>
      </w:tr>
      <w:tr w:rsidR="00D9137B" w:rsidRPr="008F2511" w:rsidTr="00D9137B">
        <w:trPr>
          <w:tblCellSpacing w:w="15" w:type="dxa"/>
        </w:trPr>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amount paid out in lump sums and lump sum death benefits</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£0</w:t>
            </w:r>
          </w:p>
        </w:tc>
      </w:tr>
      <w:tr w:rsidR="00D9137B" w:rsidRPr="008F2511" w:rsidTr="00D9137B">
        <w:trPr>
          <w:tblCellSpacing w:w="15" w:type="dxa"/>
        </w:trPr>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amount paid out to purchase lifetime annuities and scheme pensions from an insurance company</w:t>
            </w:r>
          </w:p>
        </w:tc>
        <w:tc>
          <w:tcPr>
            <w:tcW w:w="0" w:type="auto"/>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£0</w:t>
            </w:r>
          </w:p>
        </w:tc>
      </w:tr>
      <w:tr w:rsidR="00D9137B" w:rsidRPr="008F2511" w:rsidTr="00D9137B">
        <w:trPr>
          <w:tblCellSpacing w:w="15" w:type="dxa"/>
        </w:trPr>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amount borrowed</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£0</w:t>
            </w:r>
          </w:p>
        </w:tc>
      </w:tr>
    </w:tbl>
    <w:p w:rsidR="00D9137B" w:rsidRPr="008F2511" w:rsidRDefault="00D9137B" w:rsidP="00D9137B">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05"/>
        <w:gridCol w:w="66"/>
        <w:gridCol w:w="369"/>
      </w:tblGrid>
      <w:tr w:rsidR="00D9137B" w:rsidRPr="008F2511" w:rsidTr="00D9137B">
        <w:trPr>
          <w:tblCellSpacing w:w="15" w:type="dxa"/>
        </w:trPr>
        <w:tc>
          <w:tcPr>
            <w:tcW w:w="2500" w:type="pct"/>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25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hideMark/>
          </w:tcPr>
          <w:p w:rsidR="00D9137B" w:rsidRPr="008F2511" w:rsidRDefault="00D9137B" w:rsidP="00D9137B">
            <w:pPr>
              <w:spacing w:after="0" w:line="240" w:lineRule="auto"/>
              <w:rPr>
                <w:rFonts w:asciiTheme="minorHAnsi" w:eastAsia="Times New Roman" w:hAnsiTheme="minorHAnsi"/>
                <w:sz w:val="23"/>
                <w:szCs w:val="23"/>
                <w:lang w:eastAsia="en-GB"/>
              </w:rPr>
            </w:pPr>
          </w:p>
        </w:tc>
      </w:tr>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r>
    </w:tbl>
    <w:p w:rsidR="00D9137B" w:rsidRDefault="00D9137B" w:rsidP="00D9137B">
      <w:pPr>
        <w:spacing w:after="0" w:line="240" w:lineRule="auto"/>
        <w:rPr>
          <w:rFonts w:asciiTheme="minorHAnsi" w:eastAsia="Times New Roman" w:hAnsiTheme="minorHAnsi"/>
          <w:sz w:val="23"/>
          <w:szCs w:val="23"/>
          <w:lang w:eastAsia="en-GB"/>
        </w:rPr>
      </w:pPr>
    </w:p>
    <w:p w:rsidR="003F7EBA" w:rsidRPr="008F2511" w:rsidRDefault="003F7EBA" w:rsidP="00D9137B">
      <w:pPr>
        <w:spacing w:after="0" w:line="240" w:lineRule="auto"/>
        <w:rPr>
          <w:rFonts w:asciiTheme="minorHAnsi" w:eastAsia="Times New Roman" w:hAnsiTheme="minorHAnsi"/>
          <w:sz w:val="23"/>
          <w:szCs w:val="23"/>
          <w:lang w:eastAsia="en-GB"/>
        </w:rPr>
      </w:pPr>
    </w:p>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lastRenderedPageBreak/>
        <w:t>Connected Parties</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At any time during the period from 06/04/2009 to 05/04/2010 did the scheme either directly or indirectly own assets that it had acquired from either:</w:t>
            </w:r>
            <w:r w:rsidRPr="008F2511">
              <w:rPr>
                <w:rFonts w:asciiTheme="minorHAnsi" w:eastAsia="Times New Roman" w:hAnsiTheme="minorHAnsi"/>
                <w:sz w:val="23"/>
                <w:szCs w:val="23"/>
                <w:lang w:eastAsia="en-GB"/>
              </w:rPr>
              <w:br/>
              <w:t>a. a sponsoring employer or any person connected with that employer?</w:t>
            </w:r>
            <w:r w:rsidRPr="008F2511">
              <w:rPr>
                <w:rFonts w:asciiTheme="minorHAnsi" w:eastAsia="Times New Roman" w:hAnsiTheme="minorHAnsi"/>
                <w:sz w:val="23"/>
                <w:szCs w:val="23"/>
                <w:lang w:eastAsia="en-GB"/>
              </w:rPr>
              <w:br/>
            </w:r>
            <w:proofErr w:type="gramStart"/>
            <w:r w:rsidRPr="008F2511">
              <w:rPr>
                <w:rFonts w:asciiTheme="minorHAnsi" w:eastAsia="Times New Roman" w:hAnsiTheme="minorHAnsi"/>
                <w:i/>
                <w:iCs/>
                <w:sz w:val="23"/>
                <w:szCs w:val="23"/>
                <w:lang w:eastAsia="en-GB"/>
              </w:rPr>
              <w:t>or</w:t>
            </w:r>
            <w:proofErr w:type="gramEnd"/>
            <w:r w:rsidRPr="008F2511">
              <w:rPr>
                <w:rFonts w:asciiTheme="minorHAnsi" w:eastAsia="Times New Roman" w:hAnsiTheme="minorHAnsi"/>
                <w:sz w:val="23"/>
                <w:szCs w:val="23"/>
                <w:lang w:eastAsia="en-GB"/>
              </w:rPr>
              <w:br/>
              <w:t>b. a person who was a director of or a person connected to a director of a close company that was also a sponsoring employer?</w:t>
            </w:r>
            <w:r w:rsidRPr="008F2511">
              <w:rPr>
                <w:rFonts w:asciiTheme="minorHAnsi" w:eastAsia="Times New Roman" w:hAnsiTheme="minorHAnsi"/>
                <w:sz w:val="23"/>
                <w:szCs w:val="23"/>
                <w:lang w:eastAsia="en-GB"/>
              </w:rPr>
              <w:br/>
            </w:r>
            <w:proofErr w:type="gramStart"/>
            <w:r w:rsidRPr="008F2511">
              <w:rPr>
                <w:rFonts w:asciiTheme="minorHAnsi" w:eastAsia="Times New Roman" w:hAnsiTheme="minorHAnsi"/>
                <w:i/>
                <w:iCs/>
                <w:sz w:val="23"/>
                <w:szCs w:val="23"/>
                <w:lang w:eastAsia="en-GB"/>
              </w:rPr>
              <w:t>or</w:t>
            </w:r>
            <w:proofErr w:type="gramEnd"/>
            <w:r w:rsidRPr="008F2511">
              <w:rPr>
                <w:rFonts w:asciiTheme="minorHAnsi" w:eastAsia="Times New Roman" w:hAnsiTheme="minorHAnsi"/>
                <w:sz w:val="23"/>
                <w:szCs w:val="23"/>
                <w:lang w:eastAsia="en-GB"/>
              </w:rPr>
              <w:br/>
              <w:t>c. a person who was either a sole owner or partner or a person connected with the sole owner or partner of a business which was a sponsoring employer?</w:t>
            </w:r>
            <w:r w:rsidRPr="008F2511">
              <w:rPr>
                <w:rFonts w:asciiTheme="minorHAnsi" w:eastAsia="Times New Roman" w:hAnsiTheme="minorHAnsi"/>
                <w:sz w:val="23"/>
                <w:szCs w:val="23"/>
                <w:lang w:eastAsia="en-GB"/>
              </w:rPr>
              <w:br/>
            </w:r>
            <w:proofErr w:type="gramStart"/>
            <w:r w:rsidRPr="008F2511">
              <w:rPr>
                <w:rFonts w:asciiTheme="minorHAnsi" w:eastAsia="Times New Roman" w:hAnsiTheme="minorHAnsi"/>
                <w:i/>
                <w:iCs/>
                <w:sz w:val="23"/>
                <w:szCs w:val="23"/>
                <w:lang w:eastAsia="en-GB"/>
              </w:rPr>
              <w:t>or</w:t>
            </w:r>
            <w:proofErr w:type="gramEnd"/>
            <w:r w:rsidRPr="008F2511">
              <w:rPr>
                <w:rFonts w:asciiTheme="minorHAnsi" w:eastAsia="Times New Roman" w:hAnsiTheme="minorHAnsi"/>
                <w:sz w:val="23"/>
                <w:szCs w:val="23"/>
                <w:lang w:eastAsia="en-GB"/>
              </w:rPr>
              <w:br/>
              <w:t>d. a member or person connected with a member?</w:t>
            </w:r>
          </w:p>
        </w:tc>
        <w:tc>
          <w:tcPr>
            <w:tcW w:w="250" w:type="pct"/>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Yes</w:t>
            </w:r>
          </w:p>
        </w:tc>
      </w:tr>
    </w:tbl>
    <w:p w:rsidR="00D9137B" w:rsidRPr="008F2511" w:rsidRDefault="00D9137B" w:rsidP="00D9137B">
      <w:pPr>
        <w:spacing w:after="0" w:line="240" w:lineRule="auto"/>
        <w:rPr>
          <w:rFonts w:asciiTheme="minorHAnsi" w:eastAsia="Times New Roman" w:hAnsiTheme="minorHAnsi"/>
          <w:sz w:val="23"/>
          <w:szCs w:val="23"/>
          <w:lang w:eastAsia="en-GB"/>
        </w:rPr>
      </w:pPr>
    </w:p>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Land or Interest in Land</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cost or market value of any land or interest in land owned by the scheme at the end of the period</w:t>
            </w:r>
            <w:r w:rsidRPr="008F2511">
              <w:rPr>
                <w:rFonts w:asciiTheme="minorHAnsi" w:eastAsia="Times New Roman" w:hAnsiTheme="minorHAnsi"/>
                <w:sz w:val="23"/>
                <w:szCs w:val="23"/>
                <w:lang w:eastAsia="en-GB"/>
              </w:rPr>
              <w:br/>
              <w:t>Specify whether this amount is</w:t>
            </w:r>
          </w:p>
        </w:tc>
        <w:tc>
          <w:tcPr>
            <w:tcW w:w="25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£190,000</w:t>
            </w:r>
            <w:r w:rsidRPr="008F2511">
              <w:rPr>
                <w:rFonts w:asciiTheme="minorHAnsi" w:eastAsia="Times New Roman" w:hAnsiTheme="minorHAnsi"/>
                <w:sz w:val="23"/>
                <w:szCs w:val="23"/>
                <w:lang w:eastAsia="en-GB"/>
              </w:rPr>
              <w:br/>
              <w:t>Market value</w:t>
            </w:r>
          </w:p>
        </w:tc>
      </w:tr>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cost of any land, or interest in land, or premium paid to acquire a leasehold interest in land</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£190,000</w:t>
            </w:r>
          </w:p>
        </w:tc>
      </w:tr>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sale proceeds of any land sold, or interest in land sold, or premiums received on disposal of a leasehold interest in land</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£0</w:t>
            </w:r>
          </w:p>
        </w:tc>
      </w:tr>
    </w:tbl>
    <w:p w:rsidR="00D9137B" w:rsidRPr="008F2511" w:rsidRDefault="00D9137B" w:rsidP="00D9137B">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If any land or interest in land was disposed of without any consideration state the total cost or market value</w:t>
            </w:r>
            <w:r w:rsidRPr="008F2511">
              <w:rPr>
                <w:rFonts w:asciiTheme="minorHAnsi" w:eastAsia="Times New Roman" w:hAnsiTheme="minorHAnsi"/>
                <w:sz w:val="23"/>
                <w:szCs w:val="23"/>
                <w:lang w:eastAsia="en-GB"/>
              </w:rPr>
              <w:br/>
              <w:t>Specify whether this amount is</w:t>
            </w:r>
          </w:p>
        </w:tc>
        <w:tc>
          <w:tcPr>
            <w:tcW w:w="25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£0</w:t>
            </w:r>
            <w:r w:rsidRPr="008F2511">
              <w:rPr>
                <w:rFonts w:asciiTheme="minorHAnsi" w:eastAsia="Times New Roman" w:hAnsiTheme="minorHAnsi"/>
                <w:sz w:val="23"/>
                <w:szCs w:val="23"/>
                <w:lang w:eastAsia="en-GB"/>
              </w:rPr>
              <w:br/>
            </w:r>
            <w:r w:rsidRPr="008F2511">
              <w:rPr>
                <w:rFonts w:asciiTheme="minorHAnsi" w:eastAsia="Times New Roman" w:hAnsiTheme="minorHAnsi"/>
                <w:sz w:val="23"/>
                <w:szCs w:val="23"/>
                <w:lang w:eastAsia="en-GB"/>
              </w:rPr>
              <w:br/>
              <w:t>Cost</w:t>
            </w:r>
          </w:p>
        </w:tc>
      </w:tr>
    </w:tbl>
    <w:p w:rsidR="00D9137B" w:rsidRPr="008F2511" w:rsidRDefault="00D9137B" w:rsidP="00D9137B">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Were any disposals made to a connected party or connected parties?</w:t>
            </w:r>
          </w:p>
        </w:tc>
        <w:tc>
          <w:tcPr>
            <w:tcW w:w="25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No</w:t>
            </w:r>
          </w:p>
        </w:tc>
      </w:tr>
    </w:tbl>
    <w:p w:rsidR="00D9137B" w:rsidRPr="008F2511" w:rsidRDefault="00D9137B" w:rsidP="00D9137B">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amount of income received from land or interest in land</w:t>
            </w:r>
          </w:p>
        </w:tc>
        <w:tc>
          <w:tcPr>
            <w:tcW w:w="25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£15,000</w:t>
            </w:r>
          </w:p>
        </w:tc>
      </w:tr>
      <w:tr w:rsidR="00D9137B" w:rsidRPr="008F2511" w:rsidTr="00D9137B">
        <w:trPr>
          <w:tblCellSpacing w:w="15" w:type="dxa"/>
        </w:trPr>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Was any part of the land or interest in land residential property as defined in Schedule 29A of Finance Act 2004?</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No</w:t>
            </w:r>
          </w:p>
        </w:tc>
      </w:tr>
    </w:tbl>
    <w:p w:rsidR="00D9137B" w:rsidRPr="008F2511" w:rsidRDefault="00D9137B" w:rsidP="00D9137B">
      <w:pPr>
        <w:spacing w:after="0" w:line="240" w:lineRule="auto"/>
        <w:rPr>
          <w:rFonts w:asciiTheme="minorHAnsi" w:eastAsia="Times New Roman" w:hAnsiTheme="minorHAnsi"/>
          <w:sz w:val="23"/>
          <w:szCs w:val="23"/>
          <w:lang w:eastAsia="en-GB"/>
        </w:rPr>
      </w:pPr>
    </w:p>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Cash and Bank Information</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amount of all cash and bank balances at the beginning of the period</w:t>
            </w:r>
          </w:p>
        </w:tc>
        <w:tc>
          <w:tcPr>
            <w:tcW w:w="25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0A1B4E">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w:t>
            </w:r>
            <w:r w:rsidR="000A1B4E" w:rsidRPr="008F2511">
              <w:rPr>
                <w:rFonts w:asciiTheme="minorHAnsi" w:eastAsia="Times New Roman" w:hAnsiTheme="minorHAnsi"/>
                <w:sz w:val="23"/>
                <w:szCs w:val="23"/>
                <w:lang w:eastAsia="en-GB"/>
              </w:rPr>
              <w:t>251827</w:t>
            </w:r>
          </w:p>
        </w:tc>
      </w:tr>
      <w:tr w:rsidR="00D9137B" w:rsidRPr="008F2511" w:rsidTr="00D9137B">
        <w:trPr>
          <w:tblCellSpacing w:w="15" w:type="dxa"/>
        </w:trPr>
        <w:tc>
          <w:tcPr>
            <w:tcW w:w="2500" w:type="pct"/>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lastRenderedPageBreak/>
              <w:t>Total amount of all cash and bank balances at the end of the period</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D9137B" w:rsidP="000A1B4E">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w:t>
            </w:r>
            <w:r w:rsidR="000A1B4E" w:rsidRPr="008F2511">
              <w:rPr>
                <w:rFonts w:asciiTheme="minorHAnsi" w:eastAsia="Times New Roman" w:hAnsiTheme="minorHAnsi"/>
                <w:sz w:val="23"/>
                <w:szCs w:val="23"/>
                <w:lang w:eastAsia="en-GB"/>
              </w:rPr>
              <w:t>366700</w:t>
            </w:r>
          </w:p>
        </w:tc>
      </w:tr>
      <w:tr w:rsidR="00D9137B" w:rsidRPr="008F2511" w:rsidTr="00D9137B">
        <w:trPr>
          <w:tblCellSpacing w:w="15" w:type="dxa"/>
        </w:trPr>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Total amount of interest credited to these accounts</w:t>
            </w:r>
          </w:p>
        </w:tc>
        <w:tc>
          <w:tcPr>
            <w:tcW w:w="0" w:type="auto"/>
            <w:vAlign w:val="center"/>
            <w:hideMark/>
          </w:tcPr>
          <w:p w:rsidR="00D9137B" w:rsidRPr="008F2511" w:rsidRDefault="00D9137B" w:rsidP="00D9137B">
            <w:pPr>
              <w:spacing w:after="0" w:line="240" w:lineRule="auto"/>
              <w:rPr>
                <w:rFonts w:asciiTheme="minorHAnsi" w:eastAsia="Times New Roman" w:hAnsiTheme="minorHAnsi"/>
                <w:sz w:val="23"/>
                <w:szCs w:val="23"/>
                <w:lang w:eastAsia="en-GB"/>
              </w:rPr>
            </w:pPr>
          </w:p>
        </w:tc>
        <w:tc>
          <w:tcPr>
            <w:tcW w:w="0" w:type="auto"/>
            <w:vAlign w:val="center"/>
            <w:hideMark/>
          </w:tcPr>
          <w:p w:rsidR="00D9137B" w:rsidRPr="008F2511" w:rsidRDefault="000A1B4E" w:rsidP="00D9137B">
            <w:pPr>
              <w:spacing w:after="0" w:line="240" w:lineRule="auto"/>
              <w:rPr>
                <w:rFonts w:asciiTheme="minorHAnsi" w:eastAsia="Times New Roman" w:hAnsiTheme="minorHAnsi"/>
                <w:sz w:val="23"/>
                <w:szCs w:val="23"/>
                <w:lang w:eastAsia="en-GB"/>
              </w:rPr>
            </w:pPr>
            <w:r w:rsidRPr="008F2511">
              <w:rPr>
                <w:rFonts w:asciiTheme="minorHAnsi" w:eastAsia="Times New Roman" w:hAnsiTheme="minorHAnsi"/>
                <w:sz w:val="23"/>
                <w:szCs w:val="23"/>
                <w:lang w:eastAsia="en-GB"/>
              </w:rPr>
              <w:t>£7</w:t>
            </w:r>
          </w:p>
          <w:p w:rsidR="00D9137B" w:rsidRPr="008F2511" w:rsidRDefault="00D9137B" w:rsidP="00D9137B">
            <w:pPr>
              <w:spacing w:after="0" w:line="240" w:lineRule="auto"/>
              <w:rPr>
                <w:rFonts w:asciiTheme="minorHAnsi" w:eastAsia="Times New Roman" w:hAnsiTheme="minorHAnsi"/>
                <w:sz w:val="23"/>
                <w:szCs w:val="23"/>
                <w:lang w:eastAsia="en-GB"/>
              </w:rPr>
            </w:pPr>
          </w:p>
          <w:p w:rsidR="00D9137B" w:rsidRPr="008F2511" w:rsidRDefault="00D9137B" w:rsidP="00D9137B">
            <w:pPr>
              <w:spacing w:after="0" w:line="240" w:lineRule="auto"/>
              <w:rPr>
                <w:rFonts w:asciiTheme="minorHAnsi" w:eastAsia="Times New Roman" w:hAnsiTheme="minorHAnsi"/>
                <w:sz w:val="23"/>
                <w:szCs w:val="23"/>
                <w:lang w:eastAsia="en-GB"/>
              </w:rPr>
            </w:pPr>
          </w:p>
        </w:tc>
      </w:tr>
    </w:tbl>
    <w:p w:rsidR="000A1B4E" w:rsidRPr="008F2511" w:rsidRDefault="000A1B4E" w:rsidP="00D9137B">
      <w:pPr>
        <w:spacing w:after="120"/>
        <w:jc w:val="both"/>
        <w:rPr>
          <w:rFonts w:asciiTheme="minorHAnsi" w:hAnsiTheme="minorHAnsi" w:cs="Calibri"/>
          <w:sz w:val="23"/>
          <w:szCs w:val="23"/>
          <w:lang w:eastAsia="en-GB"/>
        </w:rPr>
      </w:pPr>
      <w:r w:rsidRPr="008F2511">
        <w:rPr>
          <w:rFonts w:asciiTheme="minorHAnsi" w:hAnsiTheme="minorHAnsi" w:cs="Calibri"/>
          <w:sz w:val="23"/>
          <w:szCs w:val="23"/>
          <w:lang w:eastAsia="en-GB"/>
        </w:rPr>
        <w:t>The scheme held insured investments which had a market increase of £</w:t>
      </w:r>
      <w:proofErr w:type="gramStart"/>
      <w:r w:rsidRPr="008F2511">
        <w:rPr>
          <w:rFonts w:asciiTheme="minorHAnsi" w:hAnsiTheme="minorHAnsi" w:cs="Calibri"/>
          <w:sz w:val="23"/>
          <w:szCs w:val="23"/>
          <w:lang w:eastAsia="en-GB"/>
        </w:rPr>
        <w:t>15,495,</w:t>
      </w:r>
      <w:proofErr w:type="gramEnd"/>
      <w:r w:rsidRPr="008F2511">
        <w:rPr>
          <w:rFonts w:asciiTheme="minorHAnsi" w:hAnsiTheme="minorHAnsi" w:cs="Calibri"/>
          <w:sz w:val="23"/>
          <w:szCs w:val="23"/>
          <w:lang w:eastAsia="en-GB"/>
        </w:rPr>
        <w:t xml:space="preserve"> in addition there was a further purchase of investments valued at £3000. </w:t>
      </w:r>
    </w:p>
    <w:p w:rsidR="000A1B4E" w:rsidRPr="008F2511" w:rsidRDefault="000A1B4E" w:rsidP="00D9137B">
      <w:pPr>
        <w:spacing w:after="120"/>
        <w:jc w:val="both"/>
        <w:rPr>
          <w:rFonts w:asciiTheme="minorHAnsi" w:hAnsiTheme="minorHAnsi" w:cs="Calibri"/>
          <w:sz w:val="23"/>
          <w:szCs w:val="23"/>
          <w:lang w:eastAsia="en-GB"/>
        </w:rPr>
      </w:pPr>
      <w:r w:rsidRPr="008F2511">
        <w:rPr>
          <w:rFonts w:asciiTheme="minorHAnsi" w:hAnsiTheme="minorHAnsi" w:cs="Calibri"/>
          <w:sz w:val="23"/>
          <w:szCs w:val="23"/>
          <w:lang w:eastAsia="en-GB"/>
        </w:rPr>
        <w:t>Employer Related Loan - £47,696 no default or new loan was made during the pension scheme year.</w:t>
      </w:r>
    </w:p>
    <w:p w:rsidR="00D9137B" w:rsidRPr="008F2511" w:rsidRDefault="00D9137B" w:rsidP="00D9137B">
      <w:pPr>
        <w:spacing w:after="120"/>
        <w:jc w:val="both"/>
        <w:rPr>
          <w:rFonts w:asciiTheme="minorHAnsi" w:hAnsiTheme="minorHAnsi"/>
          <w:sz w:val="23"/>
          <w:szCs w:val="23"/>
        </w:rPr>
      </w:pPr>
      <w:r w:rsidRPr="008F2511">
        <w:rPr>
          <w:rFonts w:asciiTheme="minorHAnsi" w:hAnsiTheme="minorHAnsi" w:cs="Calibri"/>
          <w:sz w:val="23"/>
          <w:szCs w:val="23"/>
          <w:lang w:eastAsia="en-GB"/>
        </w:rPr>
        <w:t>Scheme expenses were less than .5% of the value of the fund.</w:t>
      </w:r>
    </w:p>
    <w:p w:rsidR="00D9137B" w:rsidRPr="008F2511" w:rsidRDefault="00D9137B" w:rsidP="00D9137B">
      <w:pPr>
        <w:jc w:val="both"/>
        <w:rPr>
          <w:rFonts w:asciiTheme="minorHAnsi" w:hAnsiTheme="minorHAnsi"/>
          <w:sz w:val="23"/>
          <w:szCs w:val="23"/>
        </w:rPr>
      </w:pPr>
      <w:r w:rsidRPr="008F2511">
        <w:rPr>
          <w:rFonts w:asciiTheme="minorHAnsi" w:hAnsiTheme="minorHAnsi"/>
          <w:sz w:val="23"/>
          <w:szCs w:val="23"/>
        </w:rPr>
        <w:t xml:space="preserve">No enquiries at the date of this report have been raised by HMRC or the Regulator. </w:t>
      </w:r>
    </w:p>
    <w:p w:rsidR="00D9137B" w:rsidRPr="008F2511" w:rsidRDefault="00D9137B" w:rsidP="00D9137B">
      <w:pPr>
        <w:jc w:val="both"/>
        <w:rPr>
          <w:rFonts w:asciiTheme="minorHAnsi" w:hAnsiTheme="minorHAnsi"/>
          <w:sz w:val="23"/>
          <w:szCs w:val="23"/>
        </w:rPr>
      </w:pPr>
      <w:r w:rsidRPr="008F2511">
        <w:rPr>
          <w:rFonts w:asciiTheme="minorHAnsi" w:hAnsiTheme="minorHAnsi"/>
          <w:sz w:val="23"/>
          <w:szCs w:val="23"/>
        </w:rPr>
        <w:t>There were no reportable event reports at the date of the return to HMRC</w:t>
      </w:r>
    </w:p>
    <w:p w:rsidR="00D9137B" w:rsidRPr="008F2511" w:rsidRDefault="00D9137B" w:rsidP="00D9137B">
      <w:pPr>
        <w:jc w:val="both"/>
        <w:rPr>
          <w:rFonts w:asciiTheme="minorHAnsi" w:hAnsiTheme="minorHAnsi"/>
          <w:sz w:val="23"/>
          <w:szCs w:val="23"/>
        </w:rPr>
      </w:pPr>
      <w:r w:rsidRPr="008F2511">
        <w:rPr>
          <w:rFonts w:asciiTheme="minorHAnsi" w:hAnsiTheme="minorHAnsi"/>
          <w:sz w:val="23"/>
          <w:szCs w:val="23"/>
        </w:rPr>
        <w:t>There were no reportable events to the Pensions Regulator at the date of the return</w:t>
      </w:r>
    </w:p>
    <w:p w:rsidR="00D9137B" w:rsidRPr="008F2511" w:rsidRDefault="00D9137B" w:rsidP="00D9137B">
      <w:pPr>
        <w:jc w:val="both"/>
        <w:rPr>
          <w:rFonts w:asciiTheme="minorHAnsi" w:hAnsiTheme="minorHAnsi"/>
          <w:sz w:val="23"/>
          <w:szCs w:val="23"/>
        </w:rPr>
      </w:pPr>
      <w:r w:rsidRPr="008F2511">
        <w:rPr>
          <w:rFonts w:asciiTheme="minorHAnsi" w:hAnsiTheme="minorHAnsi"/>
          <w:sz w:val="23"/>
          <w:szCs w:val="23"/>
        </w:rPr>
        <w:t>The Trustees retain a general account for the purposes of allocation of contributions as directed by the Employer.</w:t>
      </w:r>
    </w:p>
    <w:p w:rsidR="00D9137B" w:rsidRPr="008F2511" w:rsidRDefault="00D9137B" w:rsidP="00D9137B">
      <w:pPr>
        <w:spacing w:after="0" w:line="240" w:lineRule="auto"/>
        <w:rPr>
          <w:rFonts w:asciiTheme="minorHAnsi" w:hAnsiTheme="minorHAnsi"/>
          <w:sz w:val="23"/>
          <w:szCs w:val="23"/>
        </w:rPr>
      </w:pPr>
      <w:r w:rsidRPr="008F2511">
        <w:rPr>
          <w:rFonts w:asciiTheme="minorHAnsi" w:hAnsiTheme="minorHAnsi"/>
          <w:sz w:val="23"/>
          <w:szCs w:val="23"/>
        </w:rPr>
        <w:br w:type="page"/>
      </w:r>
    </w:p>
    <w:p w:rsidR="00B05A20" w:rsidRPr="008F2511" w:rsidRDefault="00B05A20" w:rsidP="00B05A20">
      <w:pPr>
        <w:pStyle w:val="Title"/>
        <w:rPr>
          <w:rFonts w:asciiTheme="minorHAnsi" w:hAnsiTheme="minorHAnsi"/>
          <w:sz w:val="23"/>
          <w:szCs w:val="23"/>
        </w:rPr>
      </w:pPr>
    </w:p>
    <w:p w:rsidR="00B05A20" w:rsidRPr="008F2511" w:rsidRDefault="00B05A20" w:rsidP="00B05A20">
      <w:pPr>
        <w:pStyle w:val="Subtitle"/>
        <w:numPr>
          <w:ilvl w:val="0"/>
          <w:numId w:val="11"/>
        </w:numPr>
        <w:rPr>
          <w:rFonts w:asciiTheme="minorHAnsi" w:hAnsiTheme="minorHAnsi"/>
          <w:sz w:val="23"/>
          <w:szCs w:val="23"/>
        </w:rPr>
      </w:pPr>
      <w:r w:rsidRPr="008F2511">
        <w:rPr>
          <w:rFonts w:asciiTheme="minorHAnsi" w:hAnsiTheme="minorHAnsi"/>
          <w:sz w:val="23"/>
          <w:szCs w:val="23"/>
        </w:rPr>
        <w:t>Investments</w:t>
      </w:r>
    </w:p>
    <w:p w:rsidR="00CD1862" w:rsidRPr="008F2511" w:rsidRDefault="006C4DCF" w:rsidP="00FE225F">
      <w:pPr>
        <w:pStyle w:val="NormalWeb"/>
        <w:jc w:val="both"/>
        <w:rPr>
          <w:rFonts w:asciiTheme="minorHAnsi" w:hAnsiTheme="minorHAnsi"/>
          <w:color w:val="000000"/>
          <w:sz w:val="23"/>
          <w:szCs w:val="23"/>
        </w:rPr>
      </w:pPr>
      <w:r w:rsidRPr="008F2511">
        <w:rPr>
          <w:rFonts w:asciiTheme="minorHAnsi" w:hAnsiTheme="minorHAnsi"/>
          <w:color w:val="000000"/>
          <w:sz w:val="23"/>
          <w:szCs w:val="23"/>
        </w:rPr>
        <w:t>We understa</w:t>
      </w:r>
      <w:r w:rsidR="00014B3B" w:rsidRPr="008F2511">
        <w:rPr>
          <w:rFonts w:asciiTheme="minorHAnsi" w:hAnsiTheme="minorHAnsi"/>
          <w:color w:val="000000"/>
          <w:sz w:val="23"/>
          <w:szCs w:val="23"/>
        </w:rPr>
        <w:t>nd that all investments consist</w:t>
      </w:r>
      <w:r w:rsidRPr="008F2511">
        <w:rPr>
          <w:rFonts w:asciiTheme="minorHAnsi" w:hAnsiTheme="minorHAnsi"/>
          <w:color w:val="000000"/>
          <w:sz w:val="23"/>
          <w:szCs w:val="23"/>
        </w:rPr>
        <w:t xml:space="preserve"> of </w:t>
      </w:r>
      <w:r w:rsidR="00CD1862" w:rsidRPr="008F2511">
        <w:rPr>
          <w:rFonts w:asciiTheme="minorHAnsi" w:hAnsiTheme="minorHAnsi"/>
          <w:color w:val="000000"/>
          <w:sz w:val="23"/>
          <w:szCs w:val="23"/>
        </w:rPr>
        <w:t>the following:</w:t>
      </w:r>
    </w:p>
    <w:p w:rsidR="00BA5CAB" w:rsidRPr="008F2511" w:rsidRDefault="00CD1862" w:rsidP="00FE225F">
      <w:pPr>
        <w:pStyle w:val="NormalWeb"/>
        <w:rPr>
          <w:rFonts w:asciiTheme="minorHAnsi" w:hAnsiTheme="minorHAnsi"/>
          <w:color w:val="000000"/>
          <w:sz w:val="23"/>
          <w:szCs w:val="23"/>
        </w:rPr>
      </w:pPr>
      <w:r w:rsidRPr="008F2511">
        <w:rPr>
          <w:rFonts w:asciiTheme="minorHAnsi" w:hAnsiTheme="minorHAnsi"/>
          <w:color w:val="000000"/>
          <w:sz w:val="23"/>
          <w:szCs w:val="23"/>
        </w:rPr>
        <w:t>C</w:t>
      </w:r>
      <w:r w:rsidR="006C4DCF" w:rsidRPr="008F2511">
        <w:rPr>
          <w:rFonts w:asciiTheme="minorHAnsi" w:hAnsiTheme="minorHAnsi"/>
          <w:color w:val="000000"/>
          <w:sz w:val="23"/>
          <w:szCs w:val="23"/>
        </w:rPr>
        <w:t xml:space="preserve">ash at bank </w:t>
      </w:r>
      <w:r w:rsidR="000A1B4E" w:rsidRPr="008F2511">
        <w:rPr>
          <w:rFonts w:asciiTheme="minorHAnsi" w:hAnsiTheme="minorHAnsi"/>
          <w:color w:val="000000"/>
          <w:sz w:val="23"/>
          <w:szCs w:val="23"/>
        </w:rPr>
        <w:br/>
        <w:t>Insured Funds with S</w:t>
      </w:r>
      <w:r w:rsidR="008F2511" w:rsidRPr="008F2511">
        <w:rPr>
          <w:rFonts w:asciiTheme="minorHAnsi" w:hAnsiTheme="minorHAnsi"/>
          <w:color w:val="000000"/>
          <w:sz w:val="23"/>
          <w:szCs w:val="23"/>
        </w:rPr>
        <w:t xml:space="preserve">un Life </w:t>
      </w:r>
      <w:r w:rsidR="008F2511" w:rsidRPr="008F2511">
        <w:rPr>
          <w:rFonts w:asciiTheme="minorHAnsi" w:hAnsiTheme="minorHAnsi"/>
          <w:color w:val="000000"/>
          <w:sz w:val="23"/>
          <w:szCs w:val="23"/>
        </w:rPr>
        <w:br/>
        <w:t xml:space="preserve">Property at </w:t>
      </w:r>
      <w:proofErr w:type="spellStart"/>
      <w:r w:rsidR="008F2511" w:rsidRPr="008F2511">
        <w:rPr>
          <w:rFonts w:asciiTheme="minorHAnsi" w:hAnsiTheme="minorHAnsi"/>
          <w:color w:val="000000"/>
          <w:sz w:val="23"/>
          <w:szCs w:val="23"/>
        </w:rPr>
        <w:t>Hollybank</w:t>
      </w:r>
      <w:proofErr w:type="spellEnd"/>
      <w:r w:rsidR="008F2511" w:rsidRPr="008F2511">
        <w:rPr>
          <w:rFonts w:asciiTheme="minorHAnsi" w:hAnsiTheme="minorHAnsi"/>
          <w:color w:val="000000"/>
          <w:sz w:val="23"/>
          <w:szCs w:val="23"/>
        </w:rPr>
        <w:br/>
        <w:t>Employer related loan</w:t>
      </w:r>
    </w:p>
    <w:p w:rsidR="00BA5CAB" w:rsidRPr="008F2511" w:rsidRDefault="00BA5CAB" w:rsidP="00FE225F">
      <w:pPr>
        <w:pStyle w:val="NormalWeb"/>
        <w:jc w:val="both"/>
        <w:rPr>
          <w:rFonts w:asciiTheme="minorHAnsi" w:hAnsiTheme="minorHAnsi"/>
          <w:sz w:val="23"/>
          <w:szCs w:val="23"/>
        </w:rPr>
      </w:pPr>
      <w:r w:rsidRPr="008F2511">
        <w:rPr>
          <w:rFonts w:asciiTheme="minorHAnsi" w:hAnsiTheme="minorHAnsi"/>
          <w:sz w:val="23"/>
          <w:szCs w:val="23"/>
        </w:rPr>
        <w:t xml:space="preserve">The trustees are obliged but not required to consider investment advice in the investment decisions. </w:t>
      </w:r>
    </w:p>
    <w:p w:rsidR="000A1B4E" w:rsidRPr="008F2511" w:rsidRDefault="000A1B4E" w:rsidP="00FE225F">
      <w:pPr>
        <w:pStyle w:val="NormalWeb"/>
        <w:jc w:val="both"/>
        <w:rPr>
          <w:rFonts w:asciiTheme="minorHAnsi" w:hAnsiTheme="minorHAnsi"/>
          <w:sz w:val="23"/>
          <w:szCs w:val="23"/>
        </w:rPr>
      </w:pPr>
      <w:r w:rsidRPr="008F2511">
        <w:rPr>
          <w:rFonts w:asciiTheme="minorHAnsi" w:hAnsiTheme="minorHAnsi"/>
          <w:sz w:val="23"/>
          <w:szCs w:val="23"/>
        </w:rPr>
        <w:t xml:space="preserve">The investment return to the pension scheme for the tax year to 5 April 2011 is in the order of 4%. This return is reflective of the managed funds with Sun </w:t>
      </w:r>
      <w:proofErr w:type="gramStart"/>
      <w:r w:rsidRPr="008F2511">
        <w:rPr>
          <w:rFonts w:asciiTheme="minorHAnsi" w:hAnsiTheme="minorHAnsi"/>
          <w:sz w:val="23"/>
          <w:szCs w:val="23"/>
        </w:rPr>
        <w:t>Life,</w:t>
      </w:r>
      <w:proofErr w:type="gramEnd"/>
      <w:r w:rsidRPr="008F2511">
        <w:rPr>
          <w:rFonts w:asciiTheme="minorHAnsi" w:hAnsiTheme="minorHAnsi"/>
          <w:sz w:val="23"/>
          <w:szCs w:val="23"/>
        </w:rPr>
        <w:t xml:space="preserve"> however the cash yield on deposits remains low. The trustees have a Trust and Pension Reserve Account with Investec bank which is presently paying a yield of 2.25% for 30 day notice this is higher than the present notice accounts offered by the scheme’s bankers.</w:t>
      </w:r>
    </w:p>
    <w:p w:rsidR="00BA5CAB" w:rsidRPr="008F2511" w:rsidRDefault="00BA5CAB" w:rsidP="00FE225F">
      <w:pPr>
        <w:pStyle w:val="NormalWeb"/>
        <w:jc w:val="both"/>
        <w:rPr>
          <w:rFonts w:asciiTheme="minorHAnsi" w:hAnsiTheme="minorHAnsi"/>
          <w:sz w:val="23"/>
          <w:szCs w:val="23"/>
        </w:rPr>
      </w:pPr>
      <w:r w:rsidRPr="008F2511">
        <w:rPr>
          <w:rFonts w:asciiTheme="minorHAnsi" w:hAnsiTheme="minorHAnsi"/>
          <w:sz w:val="23"/>
          <w:szCs w:val="23"/>
        </w:rPr>
        <w:t xml:space="preserve">Shortly, through Pension Schemes Online .Com the trustees will be able to view and store investment data specific to their scheme and interests. This can include receiving data on the latest NS&amp;I bond issues, commercial and land property auctions. We will write to you in connection with this free service shortly. </w:t>
      </w:r>
    </w:p>
    <w:p w:rsidR="001757D7" w:rsidRPr="008F2511" w:rsidRDefault="001757D7" w:rsidP="00FE225F">
      <w:pPr>
        <w:pStyle w:val="ListParagraph"/>
        <w:ind w:left="0"/>
        <w:jc w:val="both"/>
        <w:rPr>
          <w:rFonts w:asciiTheme="minorHAnsi" w:hAnsiTheme="minorHAnsi"/>
          <w:sz w:val="23"/>
          <w:szCs w:val="23"/>
        </w:rPr>
      </w:pPr>
    </w:p>
    <w:p w:rsidR="001757D7" w:rsidRPr="008F2511" w:rsidRDefault="001757D7" w:rsidP="004C6466">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89741C" w:rsidRPr="008F2511" w:rsidRDefault="0089741C" w:rsidP="00E241D9">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89150D" w:rsidRPr="008F2511" w:rsidRDefault="0089150D" w:rsidP="00E241D9">
      <w:pPr>
        <w:pStyle w:val="ListParagraph"/>
        <w:ind w:left="0"/>
        <w:jc w:val="both"/>
        <w:rPr>
          <w:rFonts w:asciiTheme="minorHAnsi" w:hAnsiTheme="minorHAnsi"/>
          <w:sz w:val="23"/>
          <w:szCs w:val="23"/>
        </w:rPr>
      </w:pPr>
    </w:p>
    <w:p w:rsidR="00BA5CAB" w:rsidRPr="008F2511" w:rsidRDefault="00BA5CAB" w:rsidP="00E241D9">
      <w:pPr>
        <w:pStyle w:val="ListParagraph"/>
        <w:ind w:left="0"/>
        <w:jc w:val="both"/>
        <w:rPr>
          <w:rFonts w:asciiTheme="minorHAnsi" w:hAnsiTheme="minorHAnsi"/>
          <w:sz w:val="23"/>
          <w:szCs w:val="23"/>
        </w:rPr>
      </w:pPr>
    </w:p>
    <w:p w:rsidR="00BA5CAB" w:rsidRPr="008F2511" w:rsidRDefault="00BA5CAB" w:rsidP="00E241D9">
      <w:pPr>
        <w:pStyle w:val="ListParagraph"/>
        <w:ind w:left="0"/>
        <w:jc w:val="both"/>
        <w:rPr>
          <w:rFonts w:asciiTheme="minorHAnsi" w:hAnsiTheme="minorHAnsi"/>
          <w:sz w:val="23"/>
          <w:szCs w:val="23"/>
        </w:rPr>
      </w:pPr>
    </w:p>
    <w:p w:rsidR="00A437C9" w:rsidRPr="008F2511" w:rsidRDefault="00A437C9" w:rsidP="00E241D9">
      <w:pPr>
        <w:pStyle w:val="ListParagraph"/>
        <w:ind w:left="0"/>
        <w:jc w:val="both"/>
        <w:rPr>
          <w:rFonts w:asciiTheme="minorHAnsi" w:hAnsiTheme="minorHAnsi"/>
          <w:sz w:val="23"/>
          <w:szCs w:val="23"/>
        </w:rPr>
      </w:pPr>
    </w:p>
    <w:p w:rsidR="00A437C9" w:rsidRPr="008F2511" w:rsidRDefault="00A437C9" w:rsidP="00E241D9">
      <w:pPr>
        <w:pStyle w:val="ListParagraph"/>
        <w:ind w:left="0"/>
        <w:jc w:val="both"/>
        <w:rPr>
          <w:rFonts w:asciiTheme="minorHAnsi" w:hAnsiTheme="minorHAnsi"/>
          <w:sz w:val="23"/>
          <w:szCs w:val="23"/>
        </w:rPr>
      </w:pPr>
    </w:p>
    <w:p w:rsidR="00A437C9" w:rsidRPr="008F2511" w:rsidRDefault="00A437C9" w:rsidP="00E241D9">
      <w:pPr>
        <w:pStyle w:val="ListParagraph"/>
        <w:ind w:left="0"/>
        <w:jc w:val="both"/>
        <w:rPr>
          <w:rFonts w:asciiTheme="minorHAnsi" w:hAnsiTheme="minorHAnsi"/>
          <w:sz w:val="23"/>
          <w:szCs w:val="23"/>
        </w:rPr>
      </w:pPr>
    </w:p>
    <w:p w:rsidR="00A437C9" w:rsidRDefault="00A437C9" w:rsidP="00E241D9">
      <w:pPr>
        <w:pStyle w:val="ListParagraph"/>
        <w:ind w:left="0"/>
        <w:jc w:val="both"/>
        <w:rPr>
          <w:rFonts w:asciiTheme="minorHAnsi" w:hAnsiTheme="minorHAnsi"/>
          <w:sz w:val="23"/>
          <w:szCs w:val="23"/>
        </w:rPr>
      </w:pPr>
    </w:p>
    <w:p w:rsidR="00327D4D" w:rsidRDefault="00327D4D" w:rsidP="00E241D9">
      <w:pPr>
        <w:pStyle w:val="ListParagraph"/>
        <w:ind w:left="0"/>
        <w:jc w:val="both"/>
        <w:rPr>
          <w:rFonts w:asciiTheme="minorHAnsi" w:hAnsiTheme="minorHAnsi"/>
          <w:sz w:val="23"/>
          <w:szCs w:val="23"/>
        </w:rPr>
      </w:pPr>
    </w:p>
    <w:p w:rsidR="00327D4D" w:rsidRDefault="00327D4D" w:rsidP="00E241D9">
      <w:pPr>
        <w:pStyle w:val="ListParagraph"/>
        <w:ind w:left="0"/>
        <w:jc w:val="both"/>
        <w:rPr>
          <w:rFonts w:asciiTheme="minorHAnsi" w:hAnsiTheme="minorHAnsi"/>
          <w:sz w:val="23"/>
          <w:szCs w:val="23"/>
        </w:rPr>
      </w:pPr>
    </w:p>
    <w:p w:rsidR="00327D4D" w:rsidRPr="00507045" w:rsidRDefault="00327D4D" w:rsidP="00FE225F">
      <w:pPr>
        <w:pStyle w:val="Subtitle"/>
        <w:numPr>
          <w:ilvl w:val="0"/>
          <w:numId w:val="11"/>
        </w:numPr>
        <w:jc w:val="both"/>
        <w:rPr>
          <w:rFonts w:asciiTheme="minorHAnsi" w:hAnsiTheme="minorHAnsi"/>
          <w:sz w:val="23"/>
          <w:szCs w:val="23"/>
        </w:rPr>
      </w:pPr>
      <w:r w:rsidRPr="00507045">
        <w:rPr>
          <w:rFonts w:asciiTheme="minorHAnsi" w:hAnsiTheme="minorHAnsi"/>
          <w:sz w:val="23"/>
          <w:szCs w:val="23"/>
        </w:rPr>
        <w:lastRenderedPageBreak/>
        <w:t>Pension changes in 2011.</w:t>
      </w:r>
    </w:p>
    <w:p w:rsidR="00327D4D" w:rsidRPr="00507045" w:rsidRDefault="00327D4D" w:rsidP="00327D4D">
      <w:pPr>
        <w:jc w:val="both"/>
        <w:rPr>
          <w:rFonts w:asciiTheme="minorHAnsi" w:hAnsiTheme="minorHAnsi"/>
          <w:sz w:val="23"/>
          <w:szCs w:val="23"/>
        </w:rPr>
      </w:pPr>
      <w:r w:rsidRPr="00507045">
        <w:rPr>
          <w:rFonts w:asciiTheme="minorHAnsi" w:hAnsiTheme="minorHAnsi"/>
          <w:sz w:val="23"/>
          <w:szCs w:val="23"/>
        </w:rPr>
        <w:t xml:space="preserve">In 2010, a number of changes were proposed for pension schemes, which </w:t>
      </w:r>
      <w:r w:rsidR="00FE225F">
        <w:rPr>
          <w:rFonts w:asciiTheme="minorHAnsi" w:hAnsiTheme="minorHAnsi"/>
          <w:sz w:val="23"/>
          <w:szCs w:val="23"/>
        </w:rPr>
        <w:t>ca</w:t>
      </w:r>
      <w:r w:rsidRPr="00507045">
        <w:rPr>
          <w:rFonts w:asciiTheme="minorHAnsi" w:hAnsiTheme="minorHAnsi"/>
          <w:sz w:val="23"/>
          <w:szCs w:val="23"/>
        </w:rPr>
        <w:t>me into effect in 2011 and 2012. This part of the report looks at those changes and how you might be affected.</w:t>
      </w:r>
    </w:p>
    <w:p w:rsidR="00327D4D" w:rsidRPr="00507045" w:rsidRDefault="00327D4D" w:rsidP="00327D4D">
      <w:pPr>
        <w:spacing w:before="100" w:beforeAutospacing="1" w:after="100" w:afterAutospacing="1" w:line="240" w:lineRule="auto"/>
        <w:jc w:val="both"/>
        <w:rPr>
          <w:rFonts w:asciiTheme="minorHAnsi" w:eastAsia="Times New Roman" w:hAnsiTheme="minorHAnsi"/>
          <w:b/>
          <w:sz w:val="23"/>
          <w:szCs w:val="23"/>
          <w:lang w:eastAsia="en-GB"/>
        </w:rPr>
      </w:pPr>
      <w:r w:rsidRPr="00507045">
        <w:rPr>
          <w:rFonts w:asciiTheme="minorHAnsi" w:eastAsia="Times New Roman" w:hAnsiTheme="minorHAnsi"/>
          <w:b/>
          <w:sz w:val="23"/>
          <w:szCs w:val="23"/>
          <w:lang w:eastAsia="en-GB"/>
        </w:rPr>
        <w:t>Pension Income and Inheritance Tax Changes</w:t>
      </w:r>
    </w:p>
    <w:p w:rsidR="00327D4D" w:rsidRPr="00507045" w:rsidRDefault="00327D4D" w:rsidP="00327D4D">
      <w:pPr>
        <w:spacing w:before="100" w:beforeAutospacing="1" w:after="100" w:afterAutospacing="1" w:line="240" w:lineRule="auto"/>
        <w:jc w:val="both"/>
        <w:rPr>
          <w:rFonts w:asciiTheme="minorHAnsi" w:hAnsiTheme="minorHAnsi"/>
          <w:sz w:val="23"/>
          <w:szCs w:val="23"/>
        </w:rPr>
      </w:pPr>
      <w:r w:rsidRPr="00507045">
        <w:rPr>
          <w:rFonts w:asciiTheme="minorHAnsi" w:eastAsia="Times New Roman" w:hAnsiTheme="minorHAnsi"/>
          <w:sz w:val="23"/>
          <w:szCs w:val="23"/>
          <w:lang w:eastAsia="en-GB"/>
        </w:rPr>
        <w:t xml:space="preserve">In last year’s </w:t>
      </w:r>
      <w:r w:rsidRPr="00507045">
        <w:rPr>
          <w:rFonts w:asciiTheme="minorHAnsi" w:hAnsiTheme="minorHAnsi"/>
          <w:sz w:val="23"/>
          <w:szCs w:val="23"/>
        </w:rPr>
        <w:t xml:space="preserve">emergency Budget on 22 June 2010 and published in the Finance Bill 2010, further changes were proposed to the treatment of inheritance tax.  It affects any member who reaches the age of 75 on or after 22 June 2010. </w:t>
      </w:r>
    </w:p>
    <w:p w:rsidR="00327D4D" w:rsidRPr="00507045" w:rsidRDefault="00327D4D" w:rsidP="00327D4D">
      <w:pPr>
        <w:spacing w:before="100" w:beforeAutospacing="1" w:after="100" w:afterAutospacing="1" w:line="240" w:lineRule="auto"/>
        <w:jc w:val="both"/>
        <w:rPr>
          <w:rFonts w:asciiTheme="minorHAnsi" w:hAnsiTheme="minorHAnsi"/>
          <w:sz w:val="23"/>
          <w:szCs w:val="23"/>
        </w:rPr>
      </w:pPr>
      <w:r w:rsidRPr="00507045">
        <w:rPr>
          <w:rFonts w:asciiTheme="minorHAnsi" w:hAnsiTheme="minorHAnsi"/>
          <w:sz w:val="23"/>
          <w:szCs w:val="23"/>
        </w:rPr>
        <w:t xml:space="preserve">It allows those persons who reach 75 to continue drawing their pension as unsecured income from the scheme up to age 77. This normally allows higher levels of income to be paid than would otherwise be the case where a member at 75 was required to adopt other forms of pension income. </w:t>
      </w:r>
    </w:p>
    <w:p w:rsidR="00327D4D" w:rsidRPr="00507045" w:rsidRDefault="00327D4D" w:rsidP="00327D4D">
      <w:pPr>
        <w:spacing w:before="100" w:beforeAutospacing="1" w:after="100" w:afterAutospacing="1" w:line="240" w:lineRule="auto"/>
        <w:jc w:val="both"/>
        <w:rPr>
          <w:rFonts w:asciiTheme="minorHAnsi" w:hAnsiTheme="minorHAnsi"/>
          <w:sz w:val="23"/>
          <w:szCs w:val="23"/>
        </w:rPr>
      </w:pPr>
      <w:r w:rsidRPr="00507045">
        <w:rPr>
          <w:rFonts w:asciiTheme="minorHAnsi" w:hAnsiTheme="minorHAnsi"/>
          <w:sz w:val="23"/>
          <w:szCs w:val="23"/>
        </w:rPr>
        <w:t xml:space="preserve">If a member of the pension scheme dies after reaching the age of 77 any of the remaining </w:t>
      </w:r>
      <w:proofErr w:type="gramStart"/>
      <w:r w:rsidRPr="00507045">
        <w:rPr>
          <w:rFonts w:asciiTheme="minorHAnsi" w:hAnsiTheme="minorHAnsi"/>
          <w:sz w:val="23"/>
          <w:szCs w:val="23"/>
        </w:rPr>
        <w:t>fund</w:t>
      </w:r>
      <w:proofErr w:type="gramEnd"/>
      <w:r w:rsidRPr="00507045">
        <w:rPr>
          <w:rFonts w:asciiTheme="minorHAnsi" w:hAnsiTheme="minorHAnsi"/>
          <w:sz w:val="23"/>
          <w:szCs w:val="23"/>
        </w:rPr>
        <w:t xml:space="preserve"> not used to pay either pensions to dependants or a charitable donation, is subject to tax charges up to 70 per cent. We can give specific scheme tax guidance in this area if requested.</w:t>
      </w:r>
    </w:p>
    <w:p w:rsidR="00327D4D" w:rsidRPr="00507045" w:rsidRDefault="00327D4D" w:rsidP="00327D4D">
      <w:pPr>
        <w:spacing w:before="100" w:beforeAutospacing="1" w:after="100" w:afterAutospacing="1" w:line="240" w:lineRule="auto"/>
        <w:jc w:val="both"/>
        <w:rPr>
          <w:rFonts w:asciiTheme="minorHAnsi" w:eastAsia="Times New Roman" w:hAnsiTheme="minorHAnsi"/>
          <w:b/>
          <w:sz w:val="23"/>
          <w:szCs w:val="23"/>
          <w:lang w:eastAsia="en-GB"/>
        </w:rPr>
      </w:pPr>
      <w:r w:rsidRPr="00507045">
        <w:rPr>
          <w:rFonts w:asciiTheme="minorHAnsi" w:eastAsia="Times New Roman" w:hAnsiTheme="minorHAnsi"/>
          <w:b/>
          <w:sz w:val="23"/>
          <w:szCs w:val="23"/>
          <w:lang w:eastAsia="en-GB"/>
        </w:rPr>
        <w:t>State Pensions</w:t>
      </w:r>
    </w:p>
    <w:p w:rsidR="00327D4D" w:rsidRDefault="00327D4D" w:rsidP="00327D4D">
      <w:pPr>
        <w:autoSpaceDE w:val="0"/>
        <w:autoSpaceDN w:val="0"/>
        <w:adjustRightInd w:val="0"/>
        <w:spacing w:after="0" w:line="240" w:lineRule="auto"/>
        <w:jc w:val="both"/>
        <w:rPr>
          <w:rFonts w:asciiTheme="minorHAnsi" w:hAnsiTheme="minorHAnsi"/>
          <w:sz w:val="23"/>
          <w:szCs w:val="23"/>
        </w:rPr>
      </w:pPr>
      <w:r w:rsidRPr="00507045">
        <w:rPr>
          <w:rFonts w:asciiTheme="minorHAnsi" w:eastAsia="Times New Roman" w:hAnsiTheme="minorHAnsi"/>
          <w:sz w:val="23"/>
          <w:szCs w:val="23"/>
          <w:lang w:eastAsia="en-GB"/>
        </w:rPr>
        <w:t xml:space="preserve">The method of calculating state pension increase will change. </w:t>
      </w:r>
      <w:r w:rsidRPr="00507045">
        <w:rPr>
          <w:rFonts w:asciiTheme="minorHAnsi" w:hAnsiTheme="minorHAnsi"/>
          <w:sz w:val="23"/>
          <w:szCs w:val="23"/>
        </w:rPr>
        <w:t xml:space="preserve">State pension was up-rated by the higher of price inflation or 2.5 per cent.  CPI (Consumer Price Index) will be introduced used as a third measure for pension increases from April 2011. The new changes will introduce CPI, and therefore where CPI (it is presently about 3.4%), is greater than earnings or 2.5% the basic state pension will increase by that higher amount. It will not be extended to the earnings related pension/state second pension. </w:t>
      </w:r>
    </w:p>
    <w:p w:rsidR="00FE225F" w:rsidRPr="00FE225F" w:rsidRDefault="00FE225F" w:rsidP="00327D4D">
      <w:pPr>
        <w:autoSpaceDE w:val="0"/>
        <w:autoSpaceDN w:val="0"/>
        <w:adjustRightInd w:val="0"/>
        <w:spacing w:after="0" w:line="240" w:lineRule="auto"/>
        <w:jc w:val="both"/>
        <w:rPr>
          <w:rFonts w:asciiTheme="minorHAnsi" w:hAnsiTheme="minorHAnsi"/>
          <w:b/>
          <w:sz w:val="23"/>
          <w:szCs w:val="23"/>
        </w:rPr>
      </w:pPr>
    </w:p>
    <w:p w:rsidR="00FE225F" w:rsidRPr="00FE225F" w:rsidRDefault="00FE225F" w:rsidP="00327D4D">
      <w:pPr>
        <w:autoSpaceDE w:val="0"/>
        <w:autoSpaceDN w:val="0"/>
        <w:adjustRightInd w:val="0"/>
        <w:spacing w:after="0" w:line="240" w:lineRule="auto"/>
        <w:jc w:val="both"/>
        <w:rPr>
          <w:rFonts w:asciiTheme="minorHAnsi" w:hAnsiTheme="minorHAnsi"/>
          <w:b/>
          <w:sz w:val="23"/>
          <w:szCs w:val="23"/>
        </w:rPr>
      </w:pPr>
      <w:r w:rsidRPr="00FE225F">
        <w:rPr>
          <w:rFonts w:asciiTheme="minorHAnsi" w:hAnsiTheme="minorHAnsi"/>
          <w:b/>
          <w:sz w:val="23"/>
          <w:szCs w:val="23"/>
        </w:rPr>
        <w:t>Lump sum death benefits</w:t>
      </w:r>
    </w:p>
    <w:p w:rsidR="00327D4D" w:rsidRPr="00507045" w:rsidRDefault="00327D4D" w:rsidP="00327D4D">
      <w:pPr>
        <w:autoSpaceDE w:val="0"/>
        <w:autoSpaceDN w:val="0"/>
        <w:adjustRightInd w:val="0"/>
        <w:spacing w:after="0" w:line="240" w:lineRule="auto"/>
        <w:jc w:val="both"/>
        <w:rPr>
          <w:rFonts w:asciiTheme="minorHAnsi" w:hAnsiTheme="minorHAnsi"/>
          <w:sz w:val="23"/>
          <w:szCs w:val="23"/>
        </w:rPr>
      </w:pPr>
    </w:p>
    <w:p w:rsidR="00327D4D" w:rsidRPr="00507045" w:rsidRDefault="00327D4D" w:rsidP="00327D4D">
      <w:pPr>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sz w:val="23"/>
          <w:szCs w:val="23"/>
        </w:rPr>
        <w:t>From 6</w:t>
      </w:r>
      <w:r w:rsidRPr="00507045">
        <w:rPr>
          <w:rFonts w:asciiTheme="minorHAnsi" w:hAnsiTheme="minorHAnsi"/>
          <w:sz w:val="23"/>
          <w:szCs w:val="23"/>
          <w:vertAlign w:val="superscript"/>
        </w:rPr>
        <w:t>th</w:t>
      </w:r>
      <w:r w:rsidRPr="00507045">
        <w:rPr>
          <w:rFonts w:asciiTheme="minorHAnsi" w:hAnsiTheme="minorHAnsi"/>
          <w:sz w:val="23"/>
          <w:szCs w:val="23"/>
        </w:rPr>
        <w:t xml:space="preserve"> April 2011, any member who crystallises his fund and elects for the crystallised benefits on death to be paid as a lump sum death benefit will incur a scheme tax charge of 55%. Members may therefore wish to consider a scheme life policy to meet the tax liabilities that could arise on the distribution of funds on death in the form of a lump sum; we wil</w:t>
      </w:r>
      <w:r w:rsidR="003F7EBA">
        <w:rPr>
          <w:rFonts w:asciiTheme="minorHAnsi" w:hAnsiTheme="minorHAnsi"/>
          <w:sz w:val="23"/>
          <w:szCs w:val="23"/>
        </w:rPr>
        <w:t>l work in conjunction with Nikki Spoor</w:t>
      </w:r>
      <w:r w:rsidRPr="00507045">
        <w:rPr>
          <w:rFonts w:asciiTheme="minorHAnsi" w:hAnsiTheme="minorHAnsi"/>
          <w:sz w:val="23"/>
          <w:szCs w:val="23"/>
        </w:rPr>
        <w:t xml:space="preserve"> on scheme tax guidance nearer to each member’s retirement date.</w:t>
      </w:r>
    </w:p>
    <w:p w:rsidR="00327D4D" w:rsidRPr="00507045" w:rsidRDefault="00327D4D" w:rsidP="00327D4D">
      <w:pPr>
        <w:jc w:val="both"/>
        <w:rPr>
          <w:rFonts w:asciiTheme="minorHAnsi" w:hAnsiTheme="minorHAnsi"/>
          <w:sz w:val="23"/>
          <w:szCs w:val="23"/>
        </w:rPr>
      </w:pPr>
    </w:p>
    <w:p w:rsidR="00327D4D" w:rsidRPr="00507045" w:rsidRDefault="00327D4D" w:rsidP="00327D4D">
      <w:pPr>
        <w:jc w:val="both"/>
        <w:rPr>
          <w:rFonts w:asciiTheme="minorHAnsi" w:hAnsiTheme="minorHAnsi"/>
          <w:sz w:val="23"/>
          <w:szCs w:val="23"/>
        </w:rPr>
      </w:pPr>
    </w:p>
    <w:p w:rsidR="00327D4D" w:rsidRPr="00507045" w:rsidRDefault="00327D4D" w:rsidP="00327D4D">
      <w:pPr>
        <w:jc w:val="both"/>
        <w:rPr>
          <w:rFonts w:asciiTheme="minorHAnsi" w:hAnsiTheme="minorHAnsi"/>
          <w:sz w:val="23"/>
          <w:szCs w:val="23"/>
        </w:rPr>
      </w:pPr>
    </w:p>
    <w:p w:rsidR="00327D4D" w:rsidRDefault="00327D4D" w:rsidP="00327D4D">
      <w:pPr>
        <w:jc w:val="both"/>
        <w:rPr>
          <w:rFonts w:asciiTheme="minorHAnsi" w:hAnsiTheme="minorHAnsi"/>
          <w:sz w:val="23"/>
          <w:szCs w:val="23"/>
        </w:rPr>
      </w:pPr>
    </w:p>
    <w:p w:rsidR="00FE225F" w:rsidRPr="00507045" w:rsidRDefault="00FE225F" w:rsidP="00327D4D">
      <w:pPr>
        <w:jc w:val="both"/>
        <w:rPr>
          <w:rFonts w:asciiTheme="minorHAnsi" w:hAnsiTheme="minorHAnsi"/>
          <w:sz w:val="23"/>
          <w:szCs w:val="23"/>
        </w:rPr>
      </w:pPr>
    </w:p>
    <w:p w:rsidR="00327D4D" w:rsidRPr="00507045" w:rsidRDefault="00327D4D" w:rsidP="00327D4D">
      <w:pPr>
        <w:jc w:val="both"/>
        <w:rPr>
          <w:rFonts w:asciiTheme="minorHAnsi" w:hAnsiTheme="minorHAnsi"/>
          <w:sz w:val="23"/>
          <w:szCs w:val="23"/>
        </w:rPr>
      </w:pPr>
    </w:p>
    <w:p w:rsidR="00327D4D" w:rsidRPr="008F2511" w:rsidRDefault="00327D4D" w:rsidP="00E241D9">
      <w:pPr>
        <w:pStyle w:val="ListParagraph"/>
        <w:ind w:left="0"/>
        <w:jc w:val="both"/>
        <w:rPr>
          <w:rFonts w:asciiTheme="minorHAnsi" w:hAnsiTheme="minorHAnsi"/>
          <w:sz w:val="23"/>
          <w:szCs w:val="23"/>
        </w:rPr>
      </w:pPr>
    </w:p>
    <w:p w:rsidR="002236BD" w:rsidRPr="008F2511" w:rsidRDefault="002236BD" w:rsidP="002236BD">
      <w:pPr>
        <w:pStyle w:val="Title"/>
        <w:rPr>
          <w:rFonts w:asciiTheme="minorHAnsi" w:hAnsiTheme="minorHAnsi"/>
          <w:sz w:val="23"/>
          <w:szCs w:val="23"/>
        </w:rPr>
      </w:pPr>
    </w:p>
    <w:p w:rsidR="0089150D" w:rsidRPr="008F2511" w:rsidRDefault="0089150D" w:rsidP="0089150D">
      <w:pPr>
        <w:numPr>
          <w:ilvl w:val="0"/>
          <w:numId w:val="11"/>
        </w:numPr>
        <w:jc w:val="both"/>
        <w:rPr>
          <w:rFonts w:asciiTheme="minorHAnsi" w:hAnsiTheme="minorHAnsi"/>
          <w:color w:val="4F81BD"/>
          <w:sz w:val="23"/>
          <w:szCs w:val="23"/>
        </w:rPr>
      </w:pPr>
      <w:r w:rsidRPr="008F2511">
        <w:rPr>
          <w:rFonts w:asciiTheme="minorHAnsi" w:hAnsiTheme="minorHAnsi"/>
          <w:color w:val="4F81BD"/>
          <w:sz w:val="23"/>
          <w:szCs w:val="23"/>
        </w:rPr>
        <w:t>Scheme Review</w:t>
      </w:r>
    </w:p>
    <w:p w:rsidR="00604E2A" w:rsidRPr="008F2511" w:rsidRDefault="00604E2A" w:rsidP="0089150D">
      <w:pPr>
        <w:jc w:val="both"/>
        <w:rPr>
          <w:rFonts w:asciiTheme="minorHAnsi" w:hAnsiTheme="minorHAnsi"/>
          <w:sz w:val="23"/>
          <w:szCs w:val="23"/>
        </w:rPr>
      </w:pPr>
      <w:r w:rsidRPr="008F2511">
        <w:rPr>
          <w:rFonts w:asciiTheme="minorHAnsi" w:hAnsiTheme="minorHAnsi"/>
          <w:sz w:val="23"/>
          <w:szCs w:val="23"/>
        </w:rPr>
        <w:t>Sun Trust ha</w:t>
      </w:r>
      <w:r w:rsidR="00FE225F">
        <w:rPr>
          <w:rFonts w:asciiTheme="minorHAnsi" w:hAnsiTheme="minorHAnsi"/>
          <w:sz w:val="23"/>
          <w:szCs w:val="23"/>
        </w:rPr>
        <w:t>s</w:t>
      </w:r>
      <w:r w:rsidRPr="008F2511">
        <w:rPr>
          <w:rFonts w:asciiTheme="minorHAnsi" w:hAnsiTheme="minorHAnsi"/>
          <w:sz w:val="23"/>
          <w:szCs w:val="23"/>
        </w:rPr>
        <w:t xml:space="preserve"> been removed off the trust documentation for the pension scheme. </w:t>
      </w:r>
    </w:p>
    <w:p w:rsidR="00604E2A" w:rsidRPr="008F2511" w:rsidRDefault="00604E2A" w:rsidP="0089150D">
      <w:pPr>
        <w:jc w:val="both"/>
        <w:rPr>
          <w:rFonts w:asciiTheme="minorHAnsi" w:hAnsiTheme="minorHAnsi"/>
          <w:sz w:val="23"/>
          <w:szCs w:val="23"/>
        </w:rPr>
      </w:pPr>
      <w:r w:rsidRPr="008F2511">
        <w:rPr>
          <w:rFonts w:asciiTheme="minorHAnsi" w:hAnsiTheme="minorHAnsi"/>
          <w:sz w:val="23"/>
          <w:szCs w:val="23"/>
        </w:rPr>
        <w:t xml:space="preserve">They remain party to the property held by the trustees and </w:t>
      </w:r>
      <w:r w:rsidR="008F2511" w:rsidRPr="008F2511">
        <w:rPr>
          <w:rFonts w:asciiTheme="minorHAnsi" w:hAnsiTheme="minorHAnsi"/>
          <w:sz w:val="23"/>
          <w:szCs w:val="23"/>
        </w:rPr>
        <w:t xml:space="preserve">as such we require a copy of the title deeds. A copy of the title deed is not available through online services with the Land Registry. Sun Life </w:t>
      </w:r>
      <w:proofErr w:type="gramStart"/>
      <w:r w:rsidR="008F2511" w:rsidRPr="008F2511">
        <w:rPr>
          <w:rFonts w:asciiTheme="minorHAnsi" w:hAnsiTheme="minorHAnsi"/>
          <w:sz w:val="23"/>
          <w:szCs w:val="23"/>
        </w:rPr>
        <w:t>do</w:t>
      </w:r>
      <w:proofErr w:type="gramEnd"/>
      <w:r w:rsidR="008F2511" w:rsidRPr="008F2511">
        <w:rPr>
          <w:rFonts w:asciiTheme="minorHAnsi" w:hAnsiTheme="minorHAnsi"/>
          <w:sz w:val="23"/>
          <w:szCs w:val="23"/>
        </w:rPr>
        <w:t xml:space="preserve"> not have a copy of this document.</w:t>
      </w:r>
    </w:p>
    <w:p w:rsidR="008F2511" w:rsidRPr="008F2511" w:rsidRDefault="008F2511" w:rsidP="0089150D">
      <w:pPr>
        <w:jc w:val="both"/>
        <w:rPr>
          <w:rFonts w:asciiTheme="minorHAnsi" w:hAnsiTheme="minorHAnsi"/>
          <w:sz w:val="23"/>
          <w:szCs w:val="23"/>
        </w:rPr>
      </w:pPr>
      <w:r w:rsidRPr="008F2511">
        <w:rPr>
          <w:rFonts w:asciiTheme="minorHAnsi" w:hAnsiTheme="minorHAnsi"/>
          <w:sz w:val="23"/>
          <w:szCs w:val="23"/>
        </w:rPr>
        <w:t>The trustees should consider securing a higher rate of interest for cash deposits. Typically, on a 30 day notice account the trustees can expect a yield of circa 2.25%. For fixed rate bonds this rises to 3% for 1 year and up to 4.5% for terms of 3 years or more. Please let us know if you wish us to survey current market rates.</w:t>
      </w:r>
    </w:p>
    <w:p w:rsidR="008F2511" w:rsidRPr="008F2511" w:rsidRDefault="008F2511" w:rsidP="0089150D">
      <w:pPr>
        <w:jc w:val="both"/>
        <w:rPr>
          <w:rFonts w:asciiTheme="minorHAnsi" w:hAnsiTheme="minorHAnsi"/>
          <w:sz w:val="23"/>
          <w:szCs w:val="23"/>
        </w:rPr>
      </w:pPr>
      <w:r w:rsidRPr="008F2511">
        <w:rPr>
          <w:rFonts w:asciiTheme="minorHAnsi" w:hAnsiTheme="minorHAnsi"/>
          <w:sz w:val="23"/>
          <w:szCs w:val="23"/>
        </w:rPr>
        <w:t>Presently, we do not hold a fund split – would the trustees please confirm how the scheme is split in order that we may prepare the pension scheme benefit statements.</w:t>
      </w:r>
    </w:p>
    <w:p w:rsidR="0089150D" w:rsidRPr="008F2511" w:rsidRDefault="00E011E4" w:rsidP="0089150D">
      <w:pPr>
        <w:jc w:val="both"/>
        <w:rPr>
          <w:rFonts w:asciiTheme="minorHAnsi" w:hAnsiTheme="minorHAnsi"/>
          <w:sz w:val="23"/>
          <w:szCs w:val="23"/>
        </w:rPr>
      </w:pPr>
      <w:r w:rsidRPr="008F2511">
        <w:rPr>
          <w:rFonts w:asciiTheme="minorHAnsi" w:hAnsiTheme="minorHAnsi"/>
          <w:sz w:val="23"/>
          <w:szCs w:val="23"/>
        </w:rPr>
        <w:br/>
      </w:r>
      <w:r w:rsidRPr="008F2511">
        <w:rPr>
          <w:rFonts w:asciiTheme="minorHAnsi" w:hAnsiTheme="minorHAnsi"/>
          <w:sz w:val="23"/>
          <w:szCs w:val="23"/>
        </w:rPr>
        <w:br/>
      </w:r>
      <w:r w:rsidR="00672C81" w:rsidRPr="008F2511">
        <w:rPr>
          <w:rFonts w:asciiTheme="minorHAnsi" w:hAnsiTheme="minorHAnsi"/>
          <w:sz w:val="23"/>
          <w:szCs w:val="23"/>
        </w:rPr>
        <w:t xml:space="preserve">  </w:t>
      </w:r>
      <w:r w:rsidRPr="008F2511">
        <w:rPr>
          <w:rFonts w:asciiTheme="minorHAnsi" w:hAnsiTheme="minorHAnsi"/>
          <w:sz w:val="23"/>
          <w:szCs w:val="23"/>
        </w:rPr>
        <w:br/>
      </w:r>
      <w:r w:rsidRPr="008F2511">
        <w:rPr>
          <w:rFonts w:asciiTheme="minorHAnsi" w:hAnsiTheme="minorHAnsi"/>
          <w:sz w:val="23"/>
          <w:szCs w:val="23"/>
        </w:rPr>
        <w:br/>
      </w:r>
    </w:p>
    <w:p w:rsidR="008F2511" w:rsidRPr="008F2511" w:rsidRDefault="008F2511" w:rsidP="0089150D">
      <w:pPr>
        <w:jc w:val="both"/>
        <w:rPr>
          <w:rFonts w:asciiTheme="minorHAnsi" w:hAnsiTheme="minorHAnsi"/>
          <w:sz w:val="23"/>
          <w:szCs w:val="23"/>
        </w:rPr>
      </w:pPr>
    </w:p>
    <w:sectPr w:rsidR="008F2511" w:rsidRPr="008F2511" w:rsidSect="000F2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950"/>
    <w:multiLevelType w:val="hybridMultilevel"/>
    <w:tmpl w:val="27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F3F3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55402"/>
    <w:multiLevelType w:val="hybridMultilevel"/>
    <w:tmpl w:val="809C7AA8"/>
    <w:lvl w:ilvl="0" w:tplc="EFF2951A">
      <w:start w:val="1"/>
      <w:numFmt w:val="decimal"/>
      <w:lvlText w:val="%1."/>
      <w:lvlJc w:val="left"/>
      <w:pPr>
        <w:ind w:left="720" w:hanging="360"/>
      </w:pPr>
      <w:rPr>
        <w:rFonts w:hint="default"/>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6C0113"/>
    <w:multiLevelType w:val="hybridMultilevel"/>
    <w:tmpl w:val="B440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F6E3B"/>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090F2F"/>
    <w:multiLevelType w:val="hybridMultilevel"/>
    <w:tmpl w:val="4A5AB69A"/>
    <w:lvl w:ilvl="0" w:tplc="5192D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8A21AE2"/>
    <w:multiLevelType w:val="hybridMultilevel"/>
    <w:tmpl w:val="C2FCF56C"/>
    <w:lvl w:ilvl="0" w:tplc="A1724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7354FB"/>
    <w:multiLevelType w:val="hybridMultilevel"/>
    <w:tmpl w:val="AF86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DA13F9"/>
    <w:multiLevelType w:val="hybridMultilevel"/>
    <w:tmpl w:val="54269E48"/>
    <w:lvl w:ilvl="0" w:tplc="0F660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881DC2"/>
    <w:multiLevelType w:val="hybridMultilevel"/>
    <w:tmpl w:val="8530F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1547FC"/>
    <w:multiLevelType w:val="hybridMultilevel"/>
    <w:tmpl w:val="8F4A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FF4DE7"/>
    <w:multiLevelType w:val="hybridMultilevel"/>
    <w:tmpl w:val="3D0EA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CB38B8"/>
    <w:multiLevelType w:val="hybridMultilevel"/>
    <w:tmpl w:val="753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6D661E"/>
    <w:multiLevelType w:val="hybridMultilevel"/>
    <w:tmpl w:val="CA3AA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01271F"/>
    <w:multiLevelType w:val="hybridMultilevel"/>
    <w:tmpl w:val="24FE8C0C"/>
    <w:lvl w:ilvl="0" w:tplc="213EBA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F978D8"/>
    <w:multiLevelType w:val="hybridMultilevel"/>
    <w:tmpl w:val="A386B624"/>
    <w:lvl w:ilvl="0" w:tplc="0234E9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4446B0"/>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56631D"/>
    <w:multiLevelType w:val="hybridMultilevel"/>
    <w:tmpl w:val="55A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F77BFF"/>
    <w:multiLevelType w:val="hybridMultilevel"/>
    <w:tmpl w:val="A2F2A5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3922FE"/>
    <w:multiLevelType w:val="hybridMultilevel"/>
    <w:tmpl w:val="22127900"/>
    <w:lvl w:ilvl="0" w:tplc="7FF07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BF1E18"/>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D44FF1"/>
    <w:multiLevelType w:val="hybridMultilevel"/>
    <w:tmpl w:val="1AB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6E65AB"/>
    <w:multiLevelType w:val="hybridMultilevel"/>
    <w:tmpl w:val="406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D94C4B"/>
    <w:multiLevelType w:val="multilevel"/>
    <w:tmpl w:val="4CEE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D838FE"/>
    <w:multiLevelType w:val="multilevel"/>
    <w:tmpl w:val="BFB4167A"/>
    <w:lvl w:ilvl="0">
      <w:start w:val="1"/>
      <w:numFmt w:val="decimal"/>
      <w:lvlText w:val="%1."/>
      <w:lvlJc w:val="left"/>
      <w:pPr>
        <w:ind w:left="720" w:hanging="360"/>
      </w:pPr>
      <w:rPr>
        <w:rFonts w:asciiTheme="majorHAnsi" w:hAnsiTheme="majorHAnsi" w:hint="default"/>
        <w:b w:val="0"/>
        <w:color w:val="auto"/>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F2E0371"/>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526707"/>
    <w:multiLevelType w:val="hybridMultilevel"/>
    <w:tmpl w:val="BE3A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DC350E"/>
    <w:multiLevelType w:val="hybridMultilevel"/>
    <w:tmpl w:val="9CFCE8F4"/>
    <w:lvl w:ilvl="0" w:tplc="36EEA0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4374D3"/>
    <w:multiLevelType w:val="hybridMultilevel"/>
    <w:tmpl w:val="75247F9E"/>
    <w:lvl w:ilvl="0" w:tplc="04580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545F2E"/>
    <w:multiLevelType w:val="multilevel"/>
    <w:tmpl w:val="5E8CAD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ED33583"/>
    <w:multiLevelType w:val="hybridMultilevel"/>
    <w:tmpl w:val="48BA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4"/>
  </w:num>
  <w:num w:numId="4">
    <w:abstractNumId w:val="28"/>
  </w:num>
  <w:num w:numId="5">
    <w:abstractNumId w:val="8"/>
  </w:num>
  <w:num w:numId="6">
    <w:abstractNumId w:val="19"/>
  </w:num>
  <w:num w:numId="7">
    <w:abstractNumId w:val="15"/>
  </w:num>
  <w:num w:numId="8">
    <w:abstractNumId w:val="27"/>
  </w:num>
  <w:num w:numId="9">
    <w:abstractNumId w:val="14"/>
  </w:num>
  <w:num w:numId="10">
    <w:abstractNumId w:val="6"/>
  </w:num>
  <w:num w:numId="11">
    <w:abstractNumId w:val="25"/>
  </w:num>
  <w:num w:numId="12">
    <w:abstractNumId w:val="26"/>
  </w:num>
  <w:num w:numId="13">
    <w:abstractNumId w:val="2"/>
  </w:num>
  <w:num w:numId="14">
    <w:abstractNumId w:val="0"/>
  </w:num>
  <w:num w:numId="15">
    <w:abstractNumId w:val="22"/>
  </w:num>
  <w:num w:numId="16">
    <w:abstractNumId w:val="3"/>
  </w:num>
  <w:num w:numId="17">
    <w:abstractNumId w:val="30"/>
  </w:num>
  <w:num w:numId="18">
    <w:abstractNumId w:val="21"/>
  </w:num>
  <w:num w:numId="19">
    <w:abstractNumId w:val="13"/>
  </w:num>
  <w:num w:numId="20">
    <w:abstractNumId w:val="12"/>
  </w:num>
  <w:num w:numId="21">
    <w:abstractNumId w:val="1"/>
  </w:num>
  <w:num w:numId="22">
    <w:abstractNumId w:val="20"/>
  </w:num>
  <w:num w:numId="23">
    <w:abstractNumId w:val="18"/>
  </w:num>
  <w:num w:numId="24">
    <w:abstractNumId w:val="29"/>
  </w:num>
  <w:num w:numId="25">
    <w:abstractNumId w:val="4"/>
  </w:num>
  <w:num w:numId="26">
    <w:abstractNumId w:val="10"/>
  </w:num>
  <w:num w:numId="27">
    <w:abstractNumId w:val="16"/>
  </w:num>
  <w:num w:numId="28">
    <w:abstractNumId w:val="23"/>
  </w:num>
  <w:num w:numId="29">
    <w:abstractNumId w:val="11"/>
  </w:num>
  <w:num w:numId="30">
    <w:abstractNumId w:val="7"/>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CEF8DF8B-5E18-4FDE-88BC-7C7BFBD1605E}"/>
    <w:docVar w:name="dgnword-eventsink" w:val="58002904"/>
  </w:docVars>
  <w:rsids>
    <w:rsidRoot w:val="00BC6BFB"/>
    <w:rsid w:val="00014B3B"/>
    <w:rsid w:val="000257F8"/>
    <w:rsid w:val="000425F6"/>
    <w:rsid w:val="00043C31"/>
    <w:rsid w:val="000702BA"/>
    <w:rsid w:val="00083DE8"/>
    <w:rsid w:val="000A1B4E"/>
    <w:rsid w:val="000B034F"/>
    <w:rsid w:val="000B5D2A"/>
    <w:rsid w:val="000C762A"/>
    <w:rsid w:val="000D7A78"/>
    <w:rsid w:val="000E2CCD"/>
    <w:rsid w:val="000F21A7"/>
    <w:rsid w:val="001757D7"/>
    <w:rsid w:val="001B0A12"/>
    <w:rsid w:val="001B0DE1"/>
    <w:rsid w:val="001D30D1"/>
    <w:rsid w:val="002236BD"/>
    <w:rsid w:val="00250D5A"/>
    <w:rsid w:val="00253841"/>
    <w:rsid w:val="002A611E"/>
    <w:rsid w:val="002A6517"/>
    <w:rsid w:val="002C46C9"/>
    <w:rsid w:val="002C7B92"/>
    <w:rsid w:val="00327D4D"/>
    <w:rsid w:val="00343C39"/>
    <w:rsid w:val="003A793D"/>
    <w:rsid w:val="003F7EBA"/>
    <w:rsid w:val="00402E8A"/>
    <w:rsid w:val="00422F80"/>
    <w:rsid w:val="00425EAE"/>
    <w:rsid w:val="004272BD"/>
    <w:rsid w:val="0043315F"/>
    <w:rsid w:val="00443E2D"/>
    <w:rsid w:val="00466DCF"/>
    <w:rsid w:val="00481516"/>
    <w:rsid w:val="004C6466"/>
    <w:rsid w:val="004F6723"/>
    <w:rsid w:val="004F7022"/>
    <w:rsid w:val="0056304C"/>
    <w:rsid w:val="005A118C"/>
    <w:rsid w:val="005A29DE"/>
    <w:rsid w:val="005C0304"/>
    <w:rsid w:val="005E1B56"/>
    <w:rsid w:val="00602831"/>
    <w:rsid w:val="00604E2A"/>
    <w:rsid w:val="006062E2"/>
    <w:rsid w:val="00606F88"/>
    <w:rsid w:val="00621BB0"/>
    <w:rsid w:val="006332E5"/>
    <w:rsid w:val="00657ADE"/>
    <w:rsid w:val="00672C81"/>
    <w:rsid w:val="00694D38"/>
    <w:rsid w:val="006A3B9C"/>
    <w:rsid w:val="006C4DCF"/>
    <w:rsid w:val="006D0F43"/>
    <w:rsid w:val="00790E84"/>
    <w:rsid w:val="007A27D2"/>
    <w:rsid w:val="007C0EA4"/>
    <w:rsid w:val="007E6415"/>
    <w:rsid w:val="007E6B41"/>
    <w:rsid w:val="008148DB"/>
    <w:rsid w:val="00853D11"/>
    <w:rsid w:val="00881BE6"/>
    <w:rsid w:val="0089150D"/>
    <w:rsid w:val="00893837"/>
    <w:rsid w:val="0089741C"/>
    <w:rsid w:val="008A3F11"/>
    <w:rsid w:val="008A44D6"/>
    <w:rsid w:val="008C0023"/>
    <w:rsid w:val="008E2BAE"/>
    <w:rsid w:val="008F2511"/>
    <w:rsid w:val="008F5BB1"/>
    <w:rsid w:val="00997170"/>
    <w:rsid w:val="009F4DC9"/>
    <w:rsid w:val="00A16F32"/>
    <w:rsid w:val="00A437C9"/>
    <w:rsid w:val="00A4660A"/>
    <w:rsid w:val="00A8125D"/>
    <w:rsid w:val="00AD240B"/>
    <w:rsid w:val="00B05A20"/>
    <w:rsid w:val="00B231DD"/>
    <w:rsid w:val="00B30AD8"/>
    <w:rsid w:val="00B84372"/>
    <w:rsid w:val="00B919AD"/>
    <w:rsid w:val="00BA5CAB"/>
    <w:rsid w:val="00BB0ADE"/>
    <w:rsid w:val="00BC178F"/>
    <w:rsid w:val="00BC28AA"/>
    <w:rsid w:val="00BC6BFB"/>
    <w:rsid w:val="00C23F29"/>
    <w:rsid w:val="00C53C3D"/>
    <w:rsid w:val="00C90B8E"/>
    <w:rsid w:val="00CD1862"/>
    <w:rsid w:val="00D31E32"/>
    <w:rsid w:val="00D9137B"/>
    <w:rsid w:val="00DA08F2"/>
    <w:rsid w:val="00DA5BA0"/>
    <w:rsid w:val="00DB278E"/>
    <w:rsid w:val="00DD7ECC"/>
    <w:rsid w:val="00E00C24"/>
    <w:rsid w:val="00E011E4"/>
    <w:rsid w:val="00E241D9"/>
    <w:rsid w:val="00E2532D"/>
    <w:rsid w:val="00E26406"/>
    <w:rsid w:val="00E30437"/>
    <w:rsid w:val="00E32CDF"/>
    <w:rsid w:val="00E70213"/>
    <w:rsid w:val="00E7109E"/>
    <w:rsid w:val="00E805C2"/>
    <w:rsid w:val="00EC5E8B"/>
    <w:rsid w:val="00EE5D1E"/>
    <w:rsid w:val="00EF3AC1"/>
    <w:rsid w:val="00F348DA"/>
    <w:rsid w:val="00F904BA"/>
    <w:rsid w:val="00F96EC9"/>
    <w:rsid w:val="00F971C9"/>
    <w:rsid w:val="00FE225F"/>
    <w:rsid w:val="00FE7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val="en-GB"/>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FB"/>
    <w:pPr>
      <w:ind w:left="720"/>
      <w:contextualSpacing/>
    </w:pPr>
  </w:style>
  <w:style w:type="character" w:styleId="SubtleEmphasis">
    <w:name w:val="Subtle Emphasis"/>
    <w:basedOn w:val="DefaultParagraphFont"/>
    <w:uiPriority w:val="19"/>
    <w:qFormat/>
    <w:rsid w:val="00BC6BFB"/>
    <w:rPr>
      <w:i/>
      <w:iCs/>
      <w:color w:val="808080"/>
    </w:rPr>
  </w:style>
  <w:style w:type="character" w:styleId="Emphasis">
    <w:name w:val="Emphasis"/>
    <w:basedOn w:val="DefaultParagraphFont"/>
    <w:uiPriority w:val="20"/>
    <w:qFormat/>
    <w:rsid w:val="00BC6BFB"/>
    <w:rPr>
      <w:i/>
      <w:iCs/>
    </w:rPr>
  </w:style>
  <w:style w:type="character" w:styleId="IntenseEmphasis">
    <w:name w:val="Intense Emphasis"/>
    <w:basedOn w:val="DefaultParagraphFont"/>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C6BFB"/>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BC6BFB"/>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basedOn w:val="DefaultParagraphFont"/>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old">
    <w:name w:val="bold"/>
    <w:basedOn w:val="DefaultParagraphFont"/>
    <w:rsid w:val="006C4DCF"/>
  </w:style>
  <w:style w:type="paragraph" w:customStyle="1" w:styleId="WW-Default">
    <w:name w:val="WW-Default"/>
    <w:rsid w:val="007C0EA4"/>
    <w:pPr>
      <w:widowControl w:val="0"/>
      <w:suppressAutoHyphens/>
      <w:autoSpaceDE w:val="0"/>
    </w:pPr>
    <w:rPr>
      <w:rFonts w:ascii="Helvetica" w:eastAsia="Arial" w:hAnsi="Helvetica" w:cs="Helvetica"/>
      <w:color w:val="000000"/>
      <w:sz w:val="24"/>
      <w:szCs w:val="24"/>
      <w:lang w:val="en-GB" w:eastAsia="ar-SA"/>
    </w:rPr>
  </w:style>
</w:styles>
</file>

<file path=word/webSettings.xml><?xml version="1.0" encoding="utf-8"?>
<w:webSettings xmlns:r="http://schemas.openxmlformats.org/officeDocument/2006/relationships" xmlns:w="http://schemas.openxmlformats.org/wordprocessingml/2006/main">
  <w:divs>
    <w:div w:id="336734827">
      <w:bodyDiv w:val="1"/>
      <w:marLeft w:val="0"/>
      <w:marRight w:val="0"/>
      <w:marTop w:val="0"/>
      <w:marBottom w:val="0"/>
      <w:divBdr>
        <w:top w:val="none" w:sz="0" w:space="0" w:color="auto"/>
        <w:left w:val="none" w:sz="0" w:space="0" w:color="auto"/>
        <w:bottom w:val="none" w:sz="0" w:space="0" w:color="auto"/>
        <w:right w:val="none" w:sz="0" w:space="0" w:color="auto"/>
      </w:divBdr>
    </w:div>
    <w:div w:id="479810327">
      <w:bodyDiv w:val="1"/>
      <w:marLeft w:val="0"/>
      <w:marRight w:val="0"/>
      <w:marTop w:val="0"/>
      <w:marBottom w:val="0"/>
      <w:divBdr>
        <w:top w:val="none" w:sz="0" w:space="0" w:color="auto"/>
        <w:left w:val="none" w:sz="0" w:space="0" w:color="auto"/>
        <w:bottom w:val="none" w:sz="0" w:space="0" w:color="auto"/>
        <w:right w:val="none" w:sz="0" w:space="0" w:color="auto"/>
      </w:divBdr>
    </w:div>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588541192">
      <w:bodyDiv w:val="1"/>
      <w:marLeft w:val="0"/>
      <w:marRight w:val="0"/>
      <w:marTop w:val="0"/>
      <w:marBottom w:val="0"/>
      <w:divBdr>
        <w:top w:val="none" w:sz="0" w:space="0" w:color="auto"/>
        <w:left w:val="none" w:sz="0" w:space="0" w:color="auto"/>
        <w:bottom w:val="none" w:sz="0" w:space="0" w:color="auto"/>
        <w:right w:val="none" w:sz="0" w:space="0" w:color="auto"/>
      </w:divBdr>
    </w:div>
    <w:div w:id="16867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cp:lastModifiedBy>User</cp:lastModifiedBy>
  <cp:revision>2</cp:revision>
  <cp:lastPrinted>2011-10-07T15:21:00Z</cp:lastPrinted>
  <dcterms:created xsi:type="dcterms:W3CDTF">2011-10-07T15:39:00Z</dcterms:created>
  <dcterms:modified xsi:type="dcterms:W3CDTF">2011-10-07T15:39:00Z</dcterms:modified>
</cp:coreProperties>
</file>