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Michael Kneafsey</w:t>
      </w:r>
    </w:p>
    <w:p w:rsidR="00000000" w:rsidDel="00000000" w:rsidP="00000000" w:rsidRDefault="00000000" w:rsidRPr="00000000" w14:paraId="00000002">
      <w:pPr>
        <w:spacing w:after="0" w:lineRule="auto"/>
        <w:jc w:val="right"/>
        <w:rPr>
          <w:rFonts w:ascii="Arial" w:cs="Arial" w:eastAsia="Arial" w:hAnsi="Arial"/>
        </w:rPr>
      </w:pPr>
      <w:r w:rsidDel="00000000" w:rsidR="00000000" w:rsidRPr="00000000">
        <w:rPr>
          <w:rFonts w:ascii="Arial" w:cs="Arial" w:eastAsia="Arial" w:hAnsi="Arial"/>
          <w:rtl w:val="0"/>
        </w:rPr>
        <w:t xml:space="preserve">Liskeveen House</w:t>
      </w:r>
    </w:p>
    <w:p w:rsidR="00000000" w:rsidDel="00000000" w:rsidP="00000000" w:rsidRDefault="00000000" w:rsidRPr="00000000" w14:paraId="00000003">
      <w:pPr>
        <w:spacing w:after="0" w:lineRule="auto"/>
        <w:jc w:val="right"/>
        <w:rPr>
          <w:rFonts w:ascii="Arial" w:cs="Arial" w:eastAsia="Arial" w:hAnsi="Arial"/>
        </w:rPr>
      </w:pPr>
      <w:r w:rsidDel="00000000" w:rsidR="00000000" w:rsidRPr="00000000">
        <w:rPr>
          <w:rFonts w:ascii="Arial" w:cs="Arial" w:eastAsia="Arial" w:hAnsi="Arial"/>
          <w:rtl w:val="0"/>
        </w:rPr>
        <w:t xml:space="preserve">Hatchet Hall</w:t>
      </w:r>
    </w:p>
    <w:p w:rsidR="00000000" w:rsidDel="00000000" w:rsidP="00000000" w:rsidRDefault="00000000" w:rsidRPr="00000000" w14:paraId="00000004">
      <w:pPr>
        <w:spacing w:after="0" w:lineRule="auto"/>
        <w:jc w:val="right"/>
        <w:rPr>
          <w:rFonts w:ascii="Arial" w:cs="Arial" w:eastAsia="Arial" w:hAnsi="Arial"/>
        </w:rPr>
      </w:pPr>
      <w:r w:rsidDel="00000000" w:rsidR="00000000" w:rsidRPr="00000000">
        <w:rPr>
          <w:rFonts w:ascii="Arial" w:cs="Arial" w:eastAsia="Arial" w:hAnsi="Arial"/>
          <w:rtl w:val="0"/>
        </w:rPr>
        <w:t xml:space="preserve">Moor End Road</w:t>
      </w:r>
    </w:p>
    <w:p w:rsidR="00000000" w:rsidDel="00000000" w:rsidP="00000000" w:rsidRDefault="00000000" w:rsidRPr="00000000" w14:paraId="00000005">
      <w:pPr>
        <w:spacing w:after="0" w:lineRule="auto"/>
        <w:jc w:val="right"/>
        <w:rPr>
          <w:rFonts w:ascii="Arial" w:cs="Arial" w:eastAsia="Arial" w:hAnsi="Arial"/>
        </w:rPr>
      </w:pPr>
      <w:r w:rsidDel="00000000" w:rsidR="00000000" w:rsidRPr="00000000">
        <w:rPr>
          <w:rFonts w:ascii="Arial" w:cs="Arial" w:eastAsia="Arial" w:hAnsi="Arial"/>
          <w:rtl w:val="0"/>
        </w:rPr>
        <w:t xml:space="preserve">HALIFAX</w:t>
      </w:r>
    </w:p>
    <w:p w:rsidR="00000000" w:rsidDel="00000000" w:rsidP="00000000" w:rsidRDefault="00000000" w:rsidRPr="00000000" w14:paraId="00000006">
      <w:pPr>
        <w:spacing w:after="0" w:lineRule="auto"/>
        <w:jc w:val="right"/>
        <w:rPr>
          <w:rFonts w:ascii="Arial" w:cs="Arial" w:eastAsia="Arial" w:hAnsi="Arial"/>
        </w:rPr>
      </w:pPr>
      <w:r w:rsidDel="00000000" w:rsidR="00000000" w:rsidRPr="00000000">
        <w:rPr>
          <w:rFonts w:ascii="Arial" w:cs="Arial" w:eastAsia="Arial" w:hAnsi="Arial"/>
          <w:rtl w:val="0"/>
        </w:rPr>
        <w:t xml:space="preserve">HX2 0RX</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A">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Fonts w:ascii="Arial" w:cs="Arial" w:eastAsia="Arial" w:hAnsi="Arial"/>
          <w:rtl w:val="0"/>
        </w:rPr>
        <w:t xml:space="preserve">Date:                      2019</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10">
      <w:pPr>
        <w:spacing w:after="0"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Kennedy Kneafsey SSAS</w:t>
        <w:br w:type="textWrapping"/>
        <w:t xml:space="preserve">Your Ref: APSS530</w:t>
      </w:r>
    </w:p>
    <w:p w:rsidR="00000000" w:rsidDel="00000000" w:rsidP="00000000" w:rsidRDefault="00000000" w:rsidRPr="00000000" w14:paraId="00000011">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S0000002800</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29 October 2019. Please find below the requested information to assist in the registration of Kennedy Kneafsey SSAS.</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240" w:before="240" w:lineRule="auto"/>
        <w:rPr>
          <w:rFonts w:ascii="Arial" w:cs="Arial" w:eastAsia="Arial" w:hAnsi="Arial"/>
        </w:rPr>
      </w:pPr>
      <w:r w:rsidDel="00000000" w:rsidR="00000000" w:rsidRPr="00000000">
        <w:rPr>
          <w:rFonts w:ascii="Arial" w:cs="Arial" w:eastAsia="Arial" w:hAnsi="Arial"/>
          <w:rtl w:val="0"/>
        </w:rPr>
        <w:t xml:space="preserve">Please find enclosed a summary of our competence skills as scheme trustees.</w:t>
      </w:r>
    </w:p>
    <w:p w:rsidR="00000000" w:rsidDel="00000000" w:rsidP="00000000" w:rsidRDefault="00000000" w:rsidRPr="00000000" w14:paraId="00000016">
      <w:pPr>
        <w:shd w:fill="ffffff" w:val="clear"/>
        <w:spacing w:after="240" w:before="240" w:lineRule="auto"/>
        <w:rPr>
          <w:rFonts w:ascii="Arial" w:cs="Arial" w:eastAsia="Arial" w:hAnsi="Arial"/>
          <w:color w:val="222222"/>
        </w:rPr>
      </w:pPr>
      <w:r w:rsidDel="00000000" w:rsidR="00000000" w:rsidRPr="00000000">
        <w:rPr>
          <w:rFonts w:ascii="Arial" w:cs="Arial" w:eastAsia="Arial" w:hAnsi="Arial"/>
          <w:rtl w:val="0"/>
        </w:rPr>
        <w:t xml:space="preserve">We shall appoint Retirement Capital following tax registration of the scheme to act as Scheme Practitioner. The contact details of Retirement Capital are </w:t>
      </w:r>
      <w:r w:rsidDel="00000000" w:rsidR="00000000" w:rsidRPr="00000000">
        <w:rPr>
          <w:rFonts w:ascii="Arial" w:cs="Arial" w:eastAsia="Arial" w:hAnsi="Arial"/>
          <w:color w:val="222222"/>
          <w:rtl w:val="0"/>
        </w:rPr>
        <w:t xml:space="preserve">18 Soho Square, Soho, London W1D 3QL, United Kingdom. Phone 0330 311 0088.</w:t>
      </w:r>
    </w:p>
    <w:p w:rsidR="00000000" w:rsidDel="00000000" w:rsidP="00000000" w:rsidRDefault="00000000" w:rsidRPr="00000000" w14:paraId="00000017">
      <w:pPr>
        <w:spacing w:after="240" w:before="240" w:lineRule="auto"/>
        <w:rPr>
          <w:rFonts w:ascii="Arial" w:cs="Arial" w:eastAsia="Arial" w:hAnsi="Arial"/>
        </w:rPr>
      </w:pPr>
      <w:r w:rsidDel="00000000" w:rsidR="00000000" w:rsidRPr="00000000">
        <w:rPr>
          <w:rFonts w:ascii="Arial" w:cs="Arial" w:eastAsia="Arial" w:hAnsi="Arial"/>
          <w:rtl w:val="0"/>
        </w:rPr>
        <w:t xml:space="preserve">Whilst we understand that this does not diminish our responsibilities as trustees and administrators of the scheme, we recognise that from time to time we will require specialist guidance in connection with the performance of duties necessary for the tax compliance and reporting scheme requirements.</w:t>
      </w:r>
    </w:p>
    <w:p w:rsidR="00000000" w:rsidDel="00000000" w:rsidP="00000000" w:rsidRDefault="00000000" w:rsidRPr="00000000" w14:paraId="00000018">
      <w:pPr>
        <w:spacing w:after="240" w:before="240" w:lineRule="auto"/>
        <w:rPr>
          <w:rFonts w:ascii="Arial" w:cs="Arial" w:eastAsia="Arial" w:hAnsi="Arial"/>
        </w:rPr>
      </w:pPr>
      <w:r w:rsidDel="00000000" w:rsidR="00000000" w:rsidRPr="00000000">
        <w:rPr>
          <w:rFonts w:ascii="Arial" w:cs="Arial" w:eastAsia="Arial" w:hAnsi="Arial"/>
          <w:rtl w:val="0"/>
        </w:rPr>
        <w:t xml:space="preserve">Retirement Capital shall perform the following functions on behalf of the trustees:</w:t>
      </w:r>
    </w:p>
    <w:p w:rsidR="00000000" w:rsidDel="00000000" w:rsidP="00000000" w:rsidRDefault="00000000" w:rsidRPr="00000000" w14:paraId="00000019">
      <w:pPr>
        <w:spacing w:after="240" w:before="240" w:lineRule="auto"/>
        <w:rPr>
          <w:rFonts w:ascii="Arial" w:cs="Arial" w:eastAsia="Arial" w:hAnsi="Arial"/>
        </w:rPr>
      </w:pPr>
      <w:r w:rsidDel="00000000" w:rsidR="00000000" w:rsidRPr="00000000">
        <w:rPr>
          <w:rFonts w:ascii="Arial" w:cs="Arial" w:eastAsia="Arial" w:hAnsi="Arial"/>
          <w:rtl w:val="0"/>
        </w:rPr>
        <w:t xml:space="preserve">Event Report Filing (where required)</w:t>
      </w:r>
    </w:p>
    <w:p w:rsidR="00000000" w:rsidDel="00000000" w:rsidP="00000000" w:rsidRDefault="00000000" w:rsidRPr="00000000" w14:paraId="0000001A">
      <w:pPr>
        <w:spacing w:after="240" w:before="240" w:lineRule="auto"/>
        <w:rPr>
          <w:rFonts w:ascii="Arial" w:cs="Arial" w:eastAsia="Arial" w:hAnsi="Arial"/>
        </w:rPr>
      </w:pPr>
      <w:r w:rsidDel="00000000" w:rsidR="00000000" w:rsidRPr="00000000">
        <w:rPr>
          <w:rFonts w:ascii="Arial" w:cs="Arial" w:eastAsia="Arial" w:hAnsi="Arial"/>
          <w:rtl w:val="0"/>
        </w:rPr>
        <w:t xml:space="preserve">Pension Scheme Return</w:t>
      </w:r>
    </w:p>
    <w:p w:rsidR="00000000" w:rsidDel="00000000" w:rsidP="00000000" w:rsidRDefault="00000000" w:rsidRPr="00000000" w14:paraId="0000001B">
      <w:pPr>
        <w:spacing w:after="240" w:before="240" w:lineRule="auto"/>
        <w:rPr>
          <w:rFonts w:ascii="Arial" w:cs="Arial" w:eastAsia="Arial" w:hAnsi="Arial"/>
        </w:rPr>
      </w:pPr>
      <w:r w:rsidDel="00000000" w:rsidR="00000000" w:rsidRPr="00000000">
        <w:rPr>
          <w:rFonts w:ascii="Arial" w:cs="Arial" w:eastAsia="Arial" w:hAnsi="Arial"/>
          <w:rtl w:val="0"/>
        </w:rPr>
        <w:t xml:space="preserve">Accounting For Tax Return</w:t>
      </w:r>
    </w:p>
    <w:p w:rsidR="00000000" w:rsidDel="00000000" w:rsidP="00000000" w:rsidRDefault="00000000" w:rsidRPr="00000000" w14:paraId="0000001C">
      <w:pPr>
        <w:shd w:fill="ffffff" w:val="clear"/>
        <w:spacing w:after="80" w:before="240" w:line="276" w:lineRule="auto"/>
        <w:rPr>
          <w:rFonts w:ascii="Arial" w:cs="Arial" w:eastAsia="Arial" w:hAnsi="Arial"/>
          <w:color w:val="0b0c0c"/>
        </w:rPr>
      </w:pPr>
      <w:r w:rsidDel="00000000" w:rsidR="00000000" w:rsidRPr="00000000">
        <w:rPr>
          <w:rFonts w:ascii="Arial" w:cs="Arial" w:eastAsia="Arial" w:hAnsi="Arial"/>
          <w:color w:val="0b0c0c"/>
          <w:rtl w:val="0"/>
        </w:rPr>
        <w:t xml:space="preserve">notification of a transfer of pension funds to a qualifying recognised overseas pension scheme (known as QROPS) </w:t>
      </w:r>
    </w:p>
    <w:p w:rsidR="00000000" w:rsidDel="00000000" w:rsidP="00000000" w:rsidRDefault="00000000" w:rsidRPr="00000000" w14:paraId="0000001D">
      <w:pPr>
        <w:shd w:fill="ffffff" w:val="clear"/>
        <w:spacing w:after="80" w:before="240" w:line="276" w:lineRule="auto"/>
        <w:rPr>
          <w:rFonts w:ascii="Arial" w:cs="Arial" w:eastAsia="Arial" w:hAnsi="Arial"/>
          <w:color w:val="0b0c0c"/>
        </w:rPr>
      </w:pPr>
      <w:r w:rsidDel="00000000" w:rsidR="00000000" w:rsidRPr="00000000">
        <w:rPr>
          <w:rFonts w:ascii="Arial" w:cs="Arial" w:eastAsia="Arial" w:hAnsi="Arial"/>
          <w:color w:val="0b0c0c"/>
          <w:rtl w:val="0"/>
        </w:rPr>
        <w:t xml:space="preserve">Unauthorised  borrowing reports</w:t>
      </w:r>
    </w:p>
    <w:p w:rsidR="00000000" w:rsidDel="00000000" w:rsidP="00000000" w:rsidRDefault="00000000" w:rsidRPr="00000000" w14:paraId="0000001E">
      <w:pPr>
        <w:shd w:fill="ffffff" w:val="clear"/>
        <w:spacing w:after="80" w:before="240" w:line="276" w:lineRule="auto"/>
        <w:rPr>
          <w:rFonts w:ascii="Arial" w:cs="Arial" w:eastAsia="Arial" w:hAnsi="Arial"/>
          <w:color w:val="0b0c0c"/>
        </w:rPr>
      </w:pPr>
      <w:r w:rsidDel="00000000" w:rsidR="00000000" w:rsidRPr="00000000">
        <w:rPr>
          <w:rFonts w:ascii="Arial" w:cs="Arial" w:eastAsia="Arial" w:hAnsi="Arial"/>
          <w:color w:val="0b0c0c"/>
          <w:rtl w:val="0"/>
        </w:rPr>
        <w:t xml:space="preserve">Retirement Capital only permits commercial property acquisition, stocks and share dealing account and regulated funds via a financial advisor on the platform. It is not party to any investments by the trustees. </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 </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Michael Kneafsey</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Fonts w:ascii="Arial" w:cs="Arial" w:eastAsia="Arial" w:hAnsi="Arial"/>
          <w:rtl w:val="0"/>
        </w:rPr>
        <w:t xml:space="preserve">Enc.</w:t>
      </w:r>
      <w:r w:rsidDel="00000000" w:rsidR="00000000" w:rsidRPr="00000000">
        <w:rPr>
          <w:rtl w:val="0"/>
        </w:rPr>
      </w:r>
    </w:p>
    <w:sectPr>
      <w:pgSz w:h="16840" w:w="11900"/>
      <w:pgMar w:bottom="1247" w:top="1247" w:left="1247" w:right="1247" w:header="2268"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B093C"/>
    <w:rPr>
      <w:rFonts w:cs="Times New Roman"/>
      <w:lang w:eastAsia="ja-JP"/>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B093C"/>
    <w:pPr>
      <w:tabs>
        <w:tab w:val="center" w:pos="4320"/>
        <w:tab w:val="right" w:pos="8640"/>
      </w:tabs>
      <w:spacing w:after="0" w:line="240" w:lineRule="auto"/>
    </w:pPr>
  </w:style>
  <w:style w:type="character" w:styleId="HeaderChar" w:customStyle="1">
    <w:name w:val="Header Char"/>
    <w:basedOn w:val="DefaultParagraphFont"/>
    <w:link w:val="Header"/>
    <w:uiPriority w:val="99"/>
    <w:rsid w:val="00DB093C"/>
    <w:rPr>
      <w:rFonts w:ascii="Calibri" w:cs="Times New Roman" w:eastAsia="Calibri" w:hAnsi="Calibri"/>
      <w:lang w:eastAsia="ja-JP"/>
    </w:rPr>
  </w:style>
  <w:style w:type="paragraph" w:styleId="Footer">
    <w:name w:val="footer"/>
    <w:basedOn w:val="Normal"/>
    <w:link w:val="FooterChar"/>
    <w:uiPriority w:val="99"/>
    <w:unhideWhenUsed w:val="1"/>
    <w:rsid w:val="00DB093C"/>
    <w:pPr>
      <w:tabs>
        <w:tab w:val="center" w:pos="4320"/>
        <w:tab w:val="right" w:pos="8640"/>
      </w:tabs>
      <w:spacing w:after="0" w:line="240" w:lineRule="auto"/>
    </w:pPr>
  </w:style>
  <w:style w:type="character" w:styleId="FooterChar" w:customStyle="1">
    <w:name w:val="Footer Char"/>
    <w:basedOn w:val="DefaultParagraphFont"/>
    <w:link w:val="Footer"/>
    <w:uiPriority w:val="99"/>
    <w:rsid w:val="00DB093C"/>
    <w:rPr>
      <w:rFonts w:ascii="Calibri" w:cs="Times New Roman" w:eastAsia="Calibri" w:hAnsi="Calibri"/>
      <w:lang w:eastAsia="ja-JP"/>
    </w:rPr>
  </w:style>
  <w:style w:type="paragraph" w:styleId="ListParagraph">
    <w:name w:val="List Paragraph"/>
    <w:basedOn w:val="Normal"/>
    <w:uiPriority w:val="34"/>
    <w:qFormat w:val="1"/>
    <w:rsid w:val="00DB093C"/>
    <w:pPr>
      <w:ind w:left="720"/>
      <w:contextualSpacing w:val="1"/>
    </w:pPr>
  </w:style>
  <w:style w:type="character" w:styleId="Hyperlink">
    <w:name w:val="Hyperlink"/>
    <w:basedOn w:val="DefaultParagraphFont"/>
    <w:uiPriority w:val="99"/>
    <w:unhideWhenUsed w:val="1"/>
    <w:rsid w:val="007A0825"/>
    <w:rPr>
      <w:color w:val="0563c1" w:themeColor="hyperlink"/>
      <w:u w:val="single"/>
    </w:rPr>
  </w:style>
  <w:style w:type="paragraph" w:styleId="BalloonText">
    <w:name w:val="Balloon Text"/>
    <w:basedOn w:val="Normal"/>
    <w:link w:val="BalloonTextChar"/>
    <w:uiPriority w:val="99"/>
    <w:semiHidden w:val="1"/>
    <w:unhideWhenUsed w:val="1"/>
    <w:rsid w:val="004862F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62F2"/>
    <w:rPr>
      <w:rFonts w:ascii="Segoe UI" w:cs="Segoe UI" w:eastAsia="Calibri" w:hAnsi="Segoe UI"/>
      <w:sz w:val="18"/>
      <w:szCs w:val="18"/>
      <w:lang w:eastAsia="ja-JP"/>
    </w:rPr>
  </w:style>
  <w:style w:type="character" w:styleId="Strong">
    <w:name w:val="Strong"/>
    <w:basedOn w:val="DefaultParagraphFont"/>
    <w:uiPriority w:val="22"/>
    <w:qFormat w:val="1"/>
    <w:rsid w:val="00D5211B"/>
    <w:rPr>
      <w:b w:val="1"/>
      <w:bCs w:val="1"/>
    </w:rPr>
  </w:style>
  <w:style w:type="character" w:styleId="ap-businessinformation-heading" w:customStyle="1">
    <w:name w:val="ap-businessinformation-heading"/>
    <w:basedOn w:val="DefaultParagraphFont"/>
    <w:rsid w:val="00A4421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ddress-multi-line" w:customStyle="1">
    <w:name w:val="address-multi-line"/>
    <w:basedOn w:val="DefaultParagraphFont"/>
    <w:rsid w:val="006D0DC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zFcYV/smJl0PD5qRbhLdeuEow==">AMUW2mWN7ddyxj7OO2Gwhwv+ywoDRwtXSNLlheR6wRyGT1c1AcVsCho+NkX8dahIdgtlF6gCnGXW0ikR0S2DAqZ4rcb7cw63mA9b6HPr5iJ2B3d44ZVCnNeHNwwPasF19DrebRxuKpTR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2019-11-05T10:19:00Z</dcterms:created>
  <dc:creator>Stacy</dc:creator>
</cp:coreProperties>
</file>