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0C" w:rsidRPr="00C5010C" w:rsidRDefault="00C5010C" w:rsidP="00C5010C">
      <w:pPr>
        <w:jc w:val="center"/>
        <w:rPr>
          <w:rFonts w:ascii="Arial" w:hAnsi="Arial"/>
          <w:b/>
          <w:szCs w:val="24"/>
        </w:rPr>
      </w:pPr>
      <w:r w:rsidRPr="00C5010C">
        <w:rPr>
          <w:rFonts w:ascii="Arial" w:hAnsi="Arial"/>
          <w:b/>
          <w:szCs w:val="24"/>
        </w:rPr>
        <w:t xml:space="preserve">Energy </w:t>
      </w:r>
      <w:proofErr w:type="spellStart"/>
      <w:r w:rsidRPr="00C5010C">
        <w:rPr>
          <w:rFonts w:ascii="Arial" w:hAnsi="Arial"/>
          <w:b/>
          <w:szCs w:val="24"/>
        </w:rPr>
        <w:t>Jobline</w:t>
      </w:r>
      <w:proofErr w:type="spellEnd"/>
      <w:r w:rsidRPr="00C5010C">
        <w:rPr>
          <w:rFonts w:ascii="Arial" w:hAnsi="Arial"/>
          <w:b/>
          <w:szCs w:val="24"/>
        </w:rPr>
        <w:t xml:space="preserve"> </w:t>
      </w:r>
      <w:r>
        <w:rPr>
          <w:rFonts w:ascii="Arial" w:hAnsi="Arial"/>
          <w:b/>
          <w:szCs w:val="24"/>
        </w:rPr>
        <w:t xml:space="preserve">Limited </w:t>
      </w:r>
      <w:r>
        <w:rPr>
          <w:rFonts w:ascii="Arial" w:hAnsi="Arial"/>
          <w:b/>
          <w:szCs w:val="24"/>
        </w:rPr>
        <w:br/>
        <w:t>(</w:t>
      </w:r>
      <w:r w:rsidRPr="00C5010C">
        <w:rPr>
          <w:rFonts w:ascii="Arial" w:hAnsi="Arial"/>
          <w:b/>
          <w:szCs w:val="24"/>
        </w:rPr>
        <w:t>Company Number 07734531)</w:t>
      </w:r>
      <w:r>
        <w:rPr>
          <w:rFonts w:ascii="Arial" w:hAnsi="Arial"/>
          <w:b/>
          <w:szCs w:val="24"/>
        </w:rPr>
        <w:t xml:space="preserve"> ("the company")</w:t>
      </w:r>
    </w:p>
    <w:p w:rsidR="003E33AB" w:rsidRPr="00C5010C" w:rsidRDefault="005E4658" w:rsidP="00C5010C">
      <w:pPr>
        <w:jc w:val="center"/>
        <w:rPr>
          <w:rFonts w:ascii="Arial" w:hAnsi="Arial"/>
          <w:b/>
          <w:szCs w:val="24"/>
        </w:rPr>
      </w:pPr>
      <w:r w:rsidRPr="00C5010C">
        <w:rPr>
          <w:rFonts w:ascii="Arial" w:hAnsi="Arial"/>
          <w:b/>
          <w:szCs w:val="24"/>
        </w:rPr>
        <w:t>Shar</w:t>
      </w:r>
      <w:r w:rsidR="00DC1D47" w:rsidRPr="00C5010C">
        <w:rPr>
          <w:rFonts w:ascii="Arial" w:hAnsi="Arial"/>
          <w:b/>
          <w:szCs w:val="24"/>
        </w:rPr>
        <w:t xml:space="preserve">eholders’ Special Resolution - </w:t>
      </w:r>
      <w:proofErr w:type="spellStart"/>
      <w:r w:rsidR="00DC1D47" w:rsidRPr="00C5010C">
        <w:rPr>
          <w:rFonts w:ascii="Arial" w:hAnsi="Arial"/>
          <w:b/>
          <w:szCs w:val="24"/>
        </w:rPr>
        <w:t>Disapplication</w:t>
      </w:r>
      <w:proofErr w:type="spellEnd"/>
      <w:r w:rsidR="00DC1D47" w:rsidRPr="00C5010C">
        <w:rPr>
          <w:rFonts w:ascii="Arial" w:hAnsi="Arial"/>
          <w:b/>
          <w:szCs w:val="24"/>
        </w:rPr>
        <w:t xml:space="preserve"> of Section 561 Pre-emption on Share I</w:t>
      </w:r>
      <w:r w:rsidR="003E33AB" w:rsidRPr="00C5010C">
        <w:rPr>
          <w:rFonts w:ascii="Arial" w:hAnsi="Arial"/>
          <w:b/>
          <w:szCs w:val="24"/>
        </w:rPr>
        <w:t>ssues</w:t>
      </w:r>
    </w:p>
    <w:p w:rsidR="003E33AB" w:rsidRPr="00C5010C" w:rsidRDefault="003E33AB">
      <w:pPr>
        <w:jc w:val="left"/>
        <w:rPr>
          <w:rFonts w:ascii="Arial" w:hAnsi="Arial"/>
          <w:szCs w:val="24"/>
        </w:rPr>
      </w:pPr>
    </w:p>
    <w:p w:rsidR="00F5670F" w:rsidRPr="00C5010C" w:rsidRDefault="00F5670F">
      <w:pPr>
        <w:jc w:val="left"/>
        <w:rPr>
          <w:rFonts w:ascii="Arial" w:hAnsi="Arial"/>
          <w:szCs w:val="24"/>
        </w:rPr>
      </w:pPr>
    </w:p>
    <w:p w:rsidR="003E33AB" w:rsidRPr="00C5010C" w:rsidRDefault="00704667">
      <w:pPr>
        <w:jc w:val="left"/>
        <w:rPr>
          <w:rFonts w:ascii="Arial" w:hAnsi="Arial"/>
          <w:b/>
          <w:szCs w:val="24"/>
        </w:rPr>
      </w:pPr>
      <w:r w:rsidRPr="00C5010C">
        <w:rPr>
          <w:rFonts w:ascii="Arial" w:hAnsi="Arial"/>
          <w:b/>
          <w:szCs w:val="24"/>
        </w:rPr>
        <w:t>SPECIAL RESOLUTION</w:t>
      </w:r>
    </w:p>
    <w:p w:rsidR="00704667" w:rsidRPr="00C5010C" w:rsidRDefault="00704667">
      <w:pPr>
        <w:jc w:val="left"/>
        <w:rPr>
          <w:rFonts w:ascii="Arial" w:hAnsi="Arial"/>
          <w:szCs w:val="24"/>
        </w:rPr>
      </w:pPr>
    </w:p>
    <w:p w:rsidR="007405DA" w:rsidRPr="00C5010C" w:rsidRDefault="003E33AB" w:rsidP="003E33AB">
      <w:pPr>
        <w:jc w:val="left"/>
        <w:rPr>
          <w:rFonts w:ascii="Arial" w:hAnsi="Arial"/>
          <w:szCs w:val="24"/>
          <w:lang/>
        </w:rPr>
      </w:pPr>
      <w:r w:rsidRPr="00C5010C">
        <w:rPr>
          <w:rFonts w:ascii="Arial" w:hAnsi="Arial"/>
          <w:szCs w:val="24"/>
        </w:rPr>
        <w:t xml:space="preserve">That the Directors be and they are </w:t>
      </w:r>
      <w:r w:rsidRPr="00C5010C">
        <w:rPr>
          <w:rFonts w:ascii="Arial" w:hAnsi="Arial"/>
          <w:szCs w:val="24"/>
          <w:lang/>
        </w:rPr>
        <w:t>hereby empowered under Section 570 of the Companies Act 2006 to allot equity securities (</w:t>
      </w:r>
      <w:r w:rsidR="007405DA" w:rsidRPr="00C5010C">
        <w:rPr>
          <w:rFonts w:ascii="Arial" w:hAnsi="Arial"/>
          <w:szCs w:val="24"/>
          <w:lang/>
        </w:rPr>
        <w:t xml:space="preserve">as defined in </w:t>
      </w:r>
      <w:r w:rsidRPr="00C5010C">
        <w:rPr>
          <w:rFonts w:ascii="Arial" w:hAnsi="Arial"/>
          <w:szCs w:val="24"/>
          <w:lang/>
        </w:rPr>
        <w:t>Section 560 of the said Act) for cash pursuant to the authority conferred by the previous resolution as if sub-section (1) of Section 561 of the said Act did not apply to any such allotment</w:t>
      </w:r>
    </w:p>
    <w:p w:rsidR="007405DA" w:rsidRPr="00C5010C" w:rsidRDefault="007405DA" w:rsidP="003E33AB">
      <w:pPr>
        <w:jc w:val="left"/>
        <w:rPr>
          <w:rFonts w:ascii="Arial" w:hAnsi="Arial"/>
          <w:szCs w:val="24"/>
          <w:lang/>
        </w:rPr>
      </w:pPr>
    </w:p>
    <w:p w:rsidR="00E601B2" w:rsidRPr="00C5010C" w:rsidRDefault="007405DA" w:rsidP="003E33AB">
      <w:pPr>
        <w:jc w:val="left"/>
        <w:rPr>
          <w:rFonts w:ascii="Arial" w:hAnsi="Arial"/>
          <w:szCs w:val="24"/>
          <w:lang/>
        </w:rPr>
      </w:pPr>
      <w:r w:rsidRPr="00C5010C">
        <w:rPr>
          <w:rFonts w:ascii="Arial" w:hAnsi="Arial"/>
          <w:szCs w:val="24"/>
          <w:lang/>
        </w:rPr>
        <w:t>PROVIDED THAT</w:t>
      </w:r>
      <w:r w:rsidR="003E33AB" w:rsidRPr="00C5010C">
        <w:rPr>
          <w:rFonts w:ascii="Arial" w:hAnsi="Arial"/>
          <w:szCs w:val="24"/>
          <w:lang/>
        </w:rPr>
        <w:t xml:space="preserve"> this power shall be limited</w:t>
      </w:r>
      <w:r w:rsidR="001847DF" w:rsidRPr="00C5010C">
        <w:rPr>
          <w:rFonts w:ascii="Arial" w:hAnsi="Arial"/>
          <w:szCs w:val="24"/>
          <w:lang/>
        </w:rPr>
        <w:t xml:space="preserve"> </w:t>
      </w:r>
      <w:r w:rsidR="001847DF" w:rsidRPr="00C5010C">
        <w:rPr>
          <w:rFonts w:ascii="Arial" w:hAnsi="Arial"/>
          <w:szCs w:val="24"/>
        </w:rPr>
        <w:t>to the allotment of equity securities up to an aggregate nominal value of £</w:t>
      </w:r>
      <w:r w:rsidR="00C5010C" w:rsidRPr="00C5010C">
        <w:rPr>
          <w:rFonts w:ascii="Arial" w:hAnsi="Arial"/>
          <w:szCs w:val="24"/>
        </w:rPr>
        <w:t>377,000</w:t>
      </w:r>
      <w:r w:rsidR="001847DF" w:rsidRPr="00C5010C">
        <w:rPr>
          <w:rFonts w:ascii="Arial" w:hAnsi="Arial"/>
          <w:szCs w:val="24"/>
        </w:rPr>
        <w:t xml:space="preserve"> and shall expire on the date </w:t>
      </w:r>
      <w:r w:rsidR="00C5010C" w:rsidRPr="00C5010C">
        <w:rPr>
          <w:rFonts w:ascii="Arial" w:hAnsi="Arial"/>
          <w:szCs w:val="24"/>
        </w:rPr>
        <w:t>one</w:t>
      </w:r>
      <w:r w:rsidR="001847DF" w:rsidRPr="00C5010C">
        <w:rPr>
          <w:rFonts w:ascii="Arial" w:hAnsi="Arial"/>
          <w:szCs w:val="24"/>
        </w:rPr>
        <w:t xml:space="preserve"> year after the passing of this resolution,</w:t>
      </w:r>
      <w:r w:rsidR="001847DF" w:rsidRPr="00C5010C">
        <w:rPr>
          <w:rFonts w:ascii="Arial" w:hAnsi="Arial"/>
          <w:szCs w:val="24"/>
          <w:lang/>
        </w:rPr>
        <w:t xml:space="preserve"> </w:t>
      </w:r>
    </w:p>
    <w:p w:rsidR="00E601B2" w:rsidRPr="00C5010C" w:rsidRDefault="00E601B2" w:rsidP="003E33AB">
      <w:pPr>
        <w:jc w:val="left"/>
        <w:rPr>
          <w:rFonts w:ascii="Arial" w:hAnsi="Arial"/>
          <w:szCs w:val="24"/>
          <w:lang/>
        </w:rPr>
      </w:pPr>
    </w:p>
    <w:p w:rsidR="003E33AB" w:rsidRPr="00C5010C" w:rsidRDefault="00E601B2" w:rsidP="003E33AB">
      <w:pPr>
        <w:jc w:val="left"/>
        <w:rPr>
          <w:rFonts w:ascii="Arial" w:hAnsi="Arial"/>
          <w:szCs w:val="24"/>
          <w:lang/>
        </w:rPr>
      </w:pPr>
      <w:r w:rsidRPr="00C5010C">
        <w:rPr>
          <w:rFonts w:ascii="Arial" w:hAnsi="Arial"/>
          <w:szCs w:val="24"/>
          <w:lang/>
        </w:rPr>
        <w:t>SAVE THAT</w:t>
      </w:r>
      <w:r w:rsidR="001847DF" w:rsidRPr="00C5010C">
        <w:rPr>
          <w:rFonts w:ascii="Arial" w:hAnsi="Arial"/>
          <w:szCs w:val="24"/>
          <w:lang/>
        </w:rPr>
        <w:t xml:space="preserve"> the company may before such expiry make an offer or agreement which would or might require equity securities to be allotted after such expiry and the board may allot equity securities in pursuance of such an offer or agreement as if the power conferred hereby had not expired.</w:t>
      </w:r>
    </w:p>
    <w:p w:rsidR="003E33AB" w:rsidRPr="00DC1D47" w:rsidRDefault="003E33AB">
      <w:pPr>
        <w:jc w:val="left"/>
        <w:rPr>
          <w:rFonts w:ascii="Arial" w:hAnsi="Arial"/>
          <w:sz w:val="22"/>
        </w:rPr>
      </w:pPr>
    </w:p>
    <w:p w:rsidR="00E601B2" w:rsidRDefault="00E601B2">
      <w:pPr>
        <w:jc w:val="left"/>
        <w:rPr>
          <w:rFonts w:ascii="Arial" w:hAnsi="Arial"/>
          <w:sz w:val="22"/>
        </w:rPr>
      </w:pPr>
    </w:p>
    <w:p w:rsidR="00C5010C" w:rsidRDefault="00C5010C">
      <w:pPr>
        <w:jc w:val="left"/>
        <w:rPr>
          <w:rFonts w:ascii="Arial" w:hAnsi="Arial"/>
          <w:sz w:val="22"/>
        </w:rPr>
      </w:pPr>
      <w:r>
        <w:rPr>
          <w:rFonts w:ascii="Arial" w:hAnsi="Arial"/>
          <w:sz w:val="22"/>
        </w:rPr>
        <w:t>Signed:</w:t>
      </w:r>
    </w:p>
    <w:p w:rsidR="00C5010C" w:rsidRDefault="00C5010C">
      <w:pPr>
        <w:jc w:val="left"/>
        <w:rPr>
          <w:rFonts w:ascii="Arial" w:hAnsi="Arial"/>
          <w:sz w:val="22"/>
        </w:rPr>
      </w:pPr>
    </w:p>
    <w:p w:rsidR="00C5010C" w:rsidRDefault="00C5010C">
      <w:pPr>
        <w:jc w:val="left"/>
        <w:rPr>
          <w:rFonts w:ascii="Arial" w:hAnsi="Arial"/>
          <w:sz w:val="22"/>
        </w:rPr>
      </w:pPr>
    </w:p>
    <w:p w:rsidR="00C5010C" w:rsidRPr="00DC1D47" w:rsidRDefault="00C5010C">
      <w:pPr>
        <w:jc w:val="left"/>
        <w:rPr>
          <w:rFonts w:ascii="Arial" w:hAnsi="Arial"/>
          <w:sz w:val="22"/>
        </w:rPr>
      </w:pPr>
      <w:r>
        <w:rPr>
          <w:rFonts w:ascii="Arial" w:hAnsi="Arial"/>
          <w:sz w:val="22"/>
        </w:rPr>
        <w:t>Date:</w:t>
      </w:r>
    </w:p>
    <w:sectPr w:rsidR="00C5010C" w:rsidRPr="00DC1D47" w:rsidSect="008D578D">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pgMar w:top="1276"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973" w:rsidRDefault="006B3973">
      <w:r>
        <w:separator/>
      </w:r>
    </w:p>
  </w:endnote>
  <w:endnote w:type="continuationSeparator" w:id="1">
    <w:p w:rsidR="006B3973" w:rsidRDefault="006B3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22" w:rsidRDefault="00323F22">
    <w:pPr>
      <w:pStyle w:val="Footer"/>
      <w:framePr w:wrap="auto"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rsidR="00323F22" w:rsidRDefault="00323F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F5" w:rsidRPr="003944F5" w:rsidRDefault="00323F22" w:rsidP="003944F5">
    <w:pPr>
      <w:pStyle w:val="Footer"/>
      <w:rPr>
        <w:rFonts w:ascii="Arial" w:hAnsi="Arial" w:cs="Arial"/>
        <w:sz w:val="16"/>
      </w:rPr>
    </w:pPr>
    <w:r w:rsidRPr="003944F5">
      <w:rPr>
        <w:rFonts w:ascii="Arial" w:hAnsi="Arial" w:cs="Arial"/>
        <w:sz w:val="16"/>
      </w:rPr>
      <w:t>© Simply-docs - CO.CA.MR.</w:t>
    </w:r>
    <w:r w:rsidR="0018332A">
      <w:rPr>
        <w:rFonts w:ascii="Arial" w:hAnsi="Arial" w:cs="Arial"/>
        <w:sz w:val="16"/>
      </w:rPr>
      <w:t>20</w:t>
    </w:r>
    <w:r w:rsidRPr="003944F5">
      <w:rPr>
        <w:rFonts w:ascii="Arial" w:hAnsi="Arial" w:cs="Arial"/>
        <w:sz w:val="16"/>
      </w:rPr>
      <w:t xml:space="preserve"> </w:t>
    </w:r>
    <w:r w:rsidR="003944F5" w:rsidRPr="003944F5">
      <w:rPr>
        <w:rFonts w:ascii="Arial" w:hAnsi="Arial" w:cs="Arial"/>
        <w:sz w:val="16"/>
      </w:rPr>
      <w:t xml:space="preserve">Shareholders’ Special Resolution - </w:t>
    </w:r>
    <w:proofErr w:type="spellStart"/>
    <w:r w:rsidR="003944F5" w:rsidRPr="003944F5">
      <w:rPr>
        <w:rFonts w:ascii="Arial" w:hAnsi="Arial" w:cs="Arial"/>
        <w:sz w:val="16"/>
      </w:rPr>
      <w:t>Disapplication</w:t>
    </w:r>
    <w:proofErr w:type="spellEnd"/>
    <w:r w:rsidR="003944F5" w:rsidRPr="003944F5">
      <w:rPr>
        <w:rFonts w:ascii="Arial" w:hAnsi="Arial" w:cs="Arial"/>
        <w:sz w:val="16"/>
      </w:rPr>
      <w:t xml:space="preserve"> of Section 561 Pre-emption on Share Issues</w:t>
    </w:r>
  </w:p>
  <w:p w:rsidR="00323F22" w:rsidRDefault="00323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2A" w:rsidRDefault="00183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973" w:rsidRDefault="006B3973">
      <w:r>
        <w:separator/>
      </w:r>
    </w:p>
  </w:footnote>
  <w:footnote w:type="continuationSeparator" w:id="1">
    <w:p w:rsidR="006B3973" w:rsidRDefault="006B3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2A" w:rsidRDefault="00183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2A" w:rsidRDefault="001833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2A" w:rsidRDefault="00183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9A1"/>
    <w:multiLevelType w:val="singleLevel"/>
    <w:tmpl w:val="59DE1E5C"/>
    <w:lvl w:ilvl="0">
      <w:start w:val="1"/>
      <w:numFmt w:val="lowerLetter"/>
      <w:lvlText w:val="(%1)"/>
      <w:legacy w:legacy="1" w:legacySpace="0" w:legacyIndent="720"/>
      <w:lvlJc w:val="left"/>
      <w:pPr>
        <w:ind w:left="720" w:hanging="720"/>
      </w:pPr>
    </w:lvl>
  </w:abstractNum>
  <w:abstractNum w:abstractNumId="1">
    <w:nsid w:val="12C55427"/>
    <w:multiLevelType w:val="singleLevel"/>
    <w:tmpl w:val="366EA538"/>
    <w:lvl w:ilvl="0">
      <w:start w:val="2"/>
      <w:numFmt w:val="lowerLetter"/>
      <w:lvlText w:val="(%1)"/>
      <w:legacy w:legacy="1" w:legacySpace="0" w:legacyIndent="720"/>
      <w:lvlJc w:val="left"/>
      <w:pPr>
        <w:ind w:left="72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compat>
  <w:rsids>
    <w:rsidRoot w:val="003E33AB"/>
    <w:rsid w:val="000D28A2"/>
    <w:rsid w:val="00127D8B"/>
    <w:rsid w:val="0018332A"/>
    <w:rsid w:val="001847DF"/>
    <w:rsid w:val="00236238"/>
    <w:rsid w:val="002A50B4"/>
    <w:rsid w:val="00323F22"/>
    <w:rsid w:val="003944F5"/>
    <w:rsid w:val="003A5B4B"/>
    <w:rsid w:val="003B4E72"/>
    <w:rsid w:val="003E33AB"/>
    <w:rsid w:val="005E4658"/>
    <w:rsid w:val="006B3973"/>
    <w:rsid w:val="00704667"/>
    <w:rsid w:val="007405DA"/>
    <w:rsid w:val="008D578D"/>
    <w:rsid w:val="00BA6949"/>
    <w:rsid w:val="00C5010C"/>
    <w:rsid w:val="00DC1D47"/>
    <w:rsid w:val="00E060C7"/>
    <w:rsid w:val="00E601B2"/>
    <w:rsid w:val="00F5670F"/>
    <w:rsid w:val="00F56D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spacing w:after="240" w:line="360" w:lineRule="auto"/>
      <w:jc w:val="center"/>
      <w:outlineLvl w:val="0"/>
    </w:pPr>
    <w:rPr>
      <w:b/>
      <w:color w:val="00008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sz w:val="20"/>
    </w:rPr>
  </w:style>
  <w:style w:type="paragraph" w:styleId="Title">
    <w:name w:val="Title"/>
    <w:basedOn w:val="Normal"/>
    <w:qFormat/>
    <w:pPr>
      <w:spacing w:after="240" w:line="360" w:lineRule="auto"/>
      <w:jc w:val="center"/>
    </w:pPr>
    <w:rPr>
      <w:b/>
      <w:color w:val="000080"/>
    </w:rPr>
  </w:style>
  <w:style w:type="paragraph" w:styleId="BodyText">
    <w:name w:val="Body Text"/>
    <w:basedOn w:val="Normal"/>
    <w:pPr>
      <w:spacing w:after="240" w:line="360" w:lineRule="auto"/>
    </w:pPr>
    <w:rPr>
      <w:color w:val="000080"/>
    </w:rPr>
  </w:style>
  <w:style w:type="paragraph" w:styleId="FootnoteText">
    <w:name w:val="footnote text"/>
    <w:basedOn w:val="Normal"/>
    <w:semiHidden/>
    <w:rsid w:val="005E4658"/>
    <w:rPr>
      <w:sz w:val="20"/>
    </w:rPr>
  </w:style>
  <w:style w:type="character" w:styleId="FootnoteReference">
    <w:name w:val="footnote reference"/>
    <w:basedOn w:val="DefaultParagraphFont"/>
    <w:semiHidden/>
    <w:rsid w:val="005E4658"/>
    <w:rPr>
      <w:vertAlign w:val="superscript"/>
    </w:rPr>
  </w:style>
</w:styles>
</file>

<file path=word/webSettings.xml><?xml version="1.0" encoding="utf-8"?>
<w:webSettings xmlns:r="http://schemas.openxmlformats.org/officeDocument/2006/relationships" xmlns:w="http://schemas.openxmlformats.org/wordprocessingml/2006/main">
  <w:divs>
    <w:div w:id="1601058742">
      <w:bodyDiv w:val="1"/>
      <w:marLeft w:val="0"/>
      <w:marRight w:val="0"/>
      <w:marTop w:val="102"/>
      <w:marBottom w:val="0"/>
      <w:divBdr>
        <w:top w:val="none" w:sz="0" w:space="0" w:color="auto"/>
        <w:left w:val="none" w:sz="0" w:space="0" w:color="auto"/>
        <w:bottom w:val="none" w:sz="0" w:space="0" w:color="auto"/>
        <w:right w:val="none" w:sz="0" w:space="0" w:color="auto"/>
      </w:divBdr>
      <w:divsChild>
        <w:div w:id="47194710">
          <w:marLeft w:val="0"/>
          <w:marRight w:val="0"/>
          <w:marTop w:val="0"/>
          <w:marBottom w:val="0"/>
          <w:divBdr>
            <w:top w:val="none" w:sz="0" w:space="0" w:color="auto"/>
            <w:left w:val="none" w:sz="0" w:space="0" w:color="auto"/>
            <w:bottom w:val="none" w:sz="0" w:space="0" w:color="auto"/>
            <w:right w:val="none" w:sz="0" w:space="0" w:color="auto"/>
          </w:divBdr>
          <w:divsChild>
            <w:div w:id="1510868365">
              <w:marLeft w:val="0"/>
              <w:marRight w:val="0"/>
              <w:marTop w:val="0"/>
              <w:marBottom w:val="0"/>
              <w:divBdr>
                <w:top w:val="none" w:sz="0" w:space="0" w:color="auto"/>
                <w:left w:val="none" w:sz="0" w:space="0" w:color="auto"/>
                <w:bottom w:val="none" w:sz="0" w:space="0" w:color="auto"/>
                <w:right w:val="none" w:sz="0" w:space="0" w:color="auto"/>
              </w:divBdr>
              <w:divsChild>
                <w:div w:id="598871697">
                  <w:marLeft w:val="0"/>
                  <w:marRight w:val="0"/>
                  <w:marTop w:val="0"/>
                  <w:marBottom w:val="0"/>
                  <w:divBdr>
                    <w:top w:val="none" w:sz="0" w:space="0" w:color="auto"/>
                    <w:left w:val="none" w:sz="0" w:space="0" w:color="auto"/>
                    <w:bottom w:val="none" w:sz="0" w:space="0" w:color="auto"/>
                    <w:right w:val="none" w:sz="0" w:space="0" w:color="auto"/>
                  </w:divBdr>
                  <w:divsChild>
                    <w:div w:id="1234585392">
                      <w:marLeft w:val="0"/>
                      <w:marRight w:val="0"/>
                      <w:marTop w:val="0"/>
                      <w:marBottom w:val="0"/>
                      <w:divBdr>
                        <w:top w:val="none" w:sz="0" w:space="0" w:color="auto"/>
                        <w:left w:val="none" w:sz="0" w:space="0" w:color="auto"/>
                        <w:bottom w:val="none" w:sz="0" w:space="0" w:color="auto"/>
                        <w:right w:val="none" w:sz="0" w:space="0" w:color="auto"/>
                      </w:divBdr>
                      <w:divsChild>
                        <w:div w:id="1432973905">
                          <w:marLeft w:val="0"/>
                          <w:marRight w:val="0"/>
                          <w:marTop w:val="0"/>
                          <w:marBottom w:val="0"/>
                          <w:divBdr>
                            <w:top w:val="none" w:sz="0" w:space="0" w:color="auto"/>
                            <w:left w:val="single" w:sz="4" w:space="0" w:color="B5B5B7"/>
                            <w:bottom w:val="none" w:sz="0" w:space="0" w:color="auto"/>
                            <w:right w:val="single" w:sz="4" w:space="0" w:color="B5B5B7"/>
                          </w:divBdr>
                          <w:divsChild>
                            <w:div w:id="1802193093">
                              <w:marLeft w:val="0"/>
                              <w:marRight w:val="0"/>
                              <w:marTop w:val="0"/>
                              <w:marBottom w:val="0"/>
                              <w:divBdr>
                                <w:top w:val="none" w:sz="0" w:space="0" w:color="auto"/>
                                <w:left w:val="none" w:sz="0" w:space="0" w:color="auto"/>
                                <w:bottom w:val="none" w:sz="0" w:space="0" w:color="auto"/>
                                <w:right w:val="none" w:sz="0" w:space="0" w:color="auto"/>
                              </w:divBdr>
                              <w:divsChild>
                                <w:div w:id="289894921">
                                  <w:marLeft w:val="0"/>
                                  <w:marRight w:val="0"/>
                                  <w:marTop w:val="0"/>
                                  <w:marBottom w:val="0"/>
                                  <w:divBdr>
                                    <w:top w:val="none" w:sz="0" w:space="0" w:color="auto"/>
                                    <w:left w:val="none" w:sz="0" w:space="0" w:color="auto"/>
                                    <w:bottom w:val="none" w:sz="0" w:space="0" w:color="auto"/>
                                    <w:right w:val="none" w:sz="0" w:space="0" w:color="auto"/>
                                  </w:divBdr>
                                  <w:divsChild>
                                    <w:div w:id="261188456">
                                      <w:marLeft w:val="0"/>
                                      <w:marRight w:val="0"/>
                                      <w:marTop w:val="0"/>
                                      <w:marBottom w:val="0"/>
                                      <w:divBdr>
                                        <w:top w:val="none" w:sz="0" w:space="0" w:color="auto"/>
                                        <w:left w:val="none" w:sz="0" w:space="0" w:color="auto"/>
                                        <w:bottom w:val="none" w:sz="0" w:space="0" w:color="auto"/>
                                        <w:right w:val="none" w:sz="0" w:space="0" w:color="auto"/>
                                      </w:divBdr>
                                      <w:divsChild>
                                        <w:div w:id="3432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276321">
      <w:bodyDiv w:val="1"/>
      <w:marLeft w:val="0"/>
      <w:marRight w:val="0"/>
      <w:marTop w:val="102"/>
      <w:marBottom w:val="0"/>
      <w:divBdr>
        <w:top w:val="none" w:sz="0" w:space="0" w:color="auto"/>
        <w:left w:val="none" w:sz="0" w:space="0" w:color="auto"/>
        <w:bottom w:val="none" w:sz="0" w:space="0" w:color="auto"/>
        <w:right w:val="none" w:sz="0" w:space="0" w:color="auto"/>
      </w:divBdr>
      <w:divsChild>
        <w:div w:id="1869637796">
          <w:marLeft w:val="0"/>
          <w:marRight w:val="0"/>
          <w:marTop w:val="0"/>
          <w:marBottom w:val="0"/>
          <w:divBdr>
            <w:top w:val="none" w:sz="0" w:space="0" w:color="auto"/>
            <w:left w:val="none" w:sz="0" w:space="0" w:color="auto"/>
            <w:bottom w:val="none" w:sz="0" w:space="0" w:color="auto"/>
            <w:right w:val="none" w:sz="0" w:space="0" w:color="auto"/>
          </w:divBdr>
          <w:divsChild>
            <w:div w:id="609363520">
              <w:marLeft w:val="0"/>
              <w:marRight w:val="0"/>
              <w:marTop w:val="0"/>
              <w:marBottom w:val="0"/>
              <w:divBdr>
                <w:top w:val="none" w:sz="0" w:space="0" w:color="auto"/>
                <w:left w:val="none" w:sz="0" w:space="0" w:color="auto"/>
                <w:bottom w:val="none" w:sz="0" w:space="0" w:color="auto"/>
                <w:right w:val="none" w:sz="0" w:space="0" w:color="auto"/>
              </w:divBdr>
              <w:divsChild>
                <w:div w:id="1192651110">
                  <w:marLeft w:val="0"/>
                  <w:marRight w:val="0"/>
                  <w:marTop w:val="0"/>
                  <w:marBottom w:val="0"/>
                  <w:divBdr>
                    <w:top w:val="none" w:sz="0" w:space="0" w:color="auto"/>
                    <w:left w:val="none" w:sz="0" w:space="0" w:color="auto"/>
                    <w:bottom w:val="none" w:sz="0" w:space="0" w:color="auto"/>
                    <w:right w:val="none" w:sz="0" w:space="0" w:color="auto"/>
                  </w:divBdr>
                  <w:divsChild>
                    <w:div w:id="1699742965">
                      <w:marLeft w:val="0"/>
                      <w:marRight w:val="0"/>
                      <w:marTop w:val="0"/>
                      <w:marBottom w:val="0"/>
                      <w:divBdr>
                        <w:top w:val="none" w:sz="0" w:space="0" w:color="auto"/>
                        <w:left w:val="none" w:sz="0" w:space="0" w:color="auto"/>
                        <w:bottom w:val="none" w:sz="0" w:space="0" w:color="auto"/>
                        <w:right w:val="none" w:sz="0" w:space="0" w:color="auto"/>
                      </w:divBdr>
                      <w:divsChild>
                        <w:div w:id="1929265613">
                          <w:marLeft w:val="0"/>
                          <w:marRight w:val="0"/>
                          <w:marTop w:val="0"/>
                          <w:marBottom w:val="0"/>
                          <w:divBdr>
                            <w:top w:val="none" w:sz="0" w:space="0" w:color="auto"/>
                            <w:left w:val="single" w:sz="4" w:space="0" w:color="B5B5B7"/>
                            <w:bottom w:val="none" w:sz="0" w:space="0" w:color="auto"/>
                            <w:right w:val="single" w:sz="4" w:space="0" w:color="B5B5B7"/>
                          </w:divBdr>
                          <w:divsChild>
                            <w:div w:id="1637953055">
                              <w:marLeft w:val="0"/>
                              <w:marRight w:val="0"/>
                              <w:marTop w:val="0"/>
                              <w:marBottom w:val="0"/>
                              <w:divBdr>
                                <w:top w:val="none" w:sz="0" w:space="0" w:color="auto"/>
                                <w:left w:val="none" w:sz="0" w:space="0" w:color="auto"/>
                                <w:bottom w:val="none" w:sz="0" w:space="0" w:color="auto"/>
                                <w:right w:val="none" w:sz="0" w:space="0" w:color="auto"/>
                              </w:divBdr>
                              <w:divsChild>
                                <w:div w:id="834027190">
                                  <w:marLeft w:val="0"/>
                                  <w:marRight w:val="0"/>
                                  <w:marTop w:val="0"/>
                                  <w:marBottom w:val="0"/>
                                  <w:divBdr>
                                    <w:top w:val="none" w:sz="0" w:space="0" w:color="auto"/>
                                    <w:left w:val="none" w:sz="0" w:space="0" w:color="auto"/>
                                    <w:bottom w:val="none" w:sz="0" w:space="0" w:color="auto"/>
                                    <w:right w:val="none" w:sz="0" w:space="0" w:color="auto"/>
                                  </w:divBdr>
                                  <w:divsChild>
                                    <w:div w:id="1723476716">
                                      <w:marLeft w:val="0"/>
                                      <w:marRight w:val="0"/>
                                      <w:marTop w:val="0"/>
                                      <w:marBottom w:val="0"/>
                                      <w:divBdr>
                                        <w:top w:val="none" w:sz="0" w:space="0" w:color="auto"/>
                                        <w:left w:val="none" w:sz="0" w:space="0" w:color="auto"/>
                                        <w:bottom w:val="none" w:sz="0" w:space="0" w:color="auto"/>
                                        <w:right w:val="none" w:sz="0" w:space="0" w:color="auto"/>
                                      </w:divBdr>
                                      <w:divsChild>
                                        <w:div w:id="816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ASP\VBWord\DOTs\CO.CA.MR.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CO.CA.MR.11</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Special Resolution - Disapplication of Section 89 Pre-emption on Share Issues</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Resolution - Disapplication of Section 89 Pre-emption on Share Issues</dc:title>
  <dc:creator>Dominik</dc:creator>
  <cp:lastModifiedBy>User</cp:lastModifiedBy>
  <cp:revision>2</cp:revision>
  <cp:lastPrinted>2015-06-14T23:17:00Z</cp:lastPrinted>
  <dcterms:created xsi:type="dcterms:W3CDTF">2015-06-14T23:17:00Z</dcterms:created>
  <dcterms:modified xsi:type="dcterms:W3CDTF">2015-06-14T23:17:00Z</dcterms:modified>
</cp:coreProperties>
</file>