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Trustees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Max Electrical Solutions Ltd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(the “Sponsoring Employer”) established a small self-administered scheme governed by a Trust Deed dated 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 </w:t>
      </w:r>
      <w:r w:rsidDel="00000000" w:rsidR="00000000" w:rsidRPr="00000000">
        <w:rPr>
          <w:sz w:val="24"/>
          <w:szCs w:val="24"/>
          <w:rtl w:val="0"/>
        </w:rPr>
        <w:t xml:space="preserve">November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all subsequent amendments (the “Existing Provisions”).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Trustee has consented to the wind up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Maxwell SSAS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(the "Scheme"), given that the Scheme no longer has any assets or liabilities held under trust.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Pursuant to Clause 32 of the governing Trust Deed, the Trustees of the Scheme have resolved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Trust will be wound up, having no assets or liabilities to be discharged.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Scheme Administrator is instructed 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to HMRC the wind up of the Scheme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 the Scheme from Pension Schemes On-Line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Close all banking and investment schemes that have been established to accept contributions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Pensions Regulator the wind up of the Scheme in accordance with their requirements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Disclose to the DP Registrar that the Administrator is no longer a data controller for the purposes of the Act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</w:t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Ross George Maxwell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5tfjWUrA1csQF+cq2Yd1y3UdA==">CgMxLjA4AHIhMVBVU2lyTnAyYnNiSlU3S3NibGVIcGE5cnpncVhOd09S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