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BFB" w:rsidRPr="004066F6" w:rsidRDefault="00BC6BFB" w:rsidP="00BC6BFB">
      <w:pPr>
        <w:jc w:val="center"/>
        <w:rPr>
          <w:rFonts w:cs="Calibri"/>
          <w:sz w:val="23"/>
          <w:szCs w:val="23"/>
        </w:rPr>
      </w:pPr>
    </w:p>
    <w:p w:rsidR="005D701B" w:rsidRPr="004066F6" w:rsidRDefault="005D701B" w:rsidP="00BC6BFB">
      <w:pPr>
        <w:jc w:val="center"/>
        <w:rPr>
          <w:rFonts w:cs="Calibri"/>
          <w:sz w:val="23"/>
          <w:szCs w:val="23"/>
        </w:rPr>
      </w:pPr>
    </w:p>
    <w:p w:rsidR="007E4EA4" w:rsidRPr="004066F6" w:rsidRDefault="007E4EA4" w:rsidP="00BC6BFB">
      <w:pPr>
        <w:jc w:val="center"/>
        <w:rPr>
          <w:rFonts w:cs="Calibri"/>
          <w:sz w:val="23"/>
          <w:szCs w:val="23"/>
        </w:rPr>
      </w:pPr>
    </w:p>
    <w:p w:rsidR="005D701B" w:rsidRPr="004066F6" w:rsidRDefault="005D701B" w:rsidP="00BC6BFB">
      <w:pPr>
        <w:jc w:val="center"/>
        <w:rPr>
          <w:rFonts w:cs="Calibri"/>
          <w:sz w:val="23"/>
          <w:szCs w:val="23"/>
        </w:rPr>
      </w:pPr>
    </w:p>
    <w:p w:rsidR="005D701B" w:rsidRPr="004066F6" w:rsidRDefault="005D701B" w:rsidP="00BC6BFB">
      <w:pPr>
        <w:jc w:val="center"/>
        <w:rPr>
          <w:rFonts w:cs="Calibri"/>
          <w:sz w:val="23"/>
          <w:szCs w:val="23"/>
        </w:rPr>
      </w:pPr>
    </w:p>
    <w:p w:rsidR="005D701B" w:rsidRPr="004066F6" w:rsidRDefault="005D701B" w:rsidP="00BC6BFB">
      <w:pPr>
        <w:jc w:val="center"/>
        <w:rPr>
          <w:rFonts w:cs="Calibri"/>
          <w:sz w:val="23"/>
          <w:szCs w:val="23"/>
        </w:rPr>
      </w:pPr>
    </w:p>
    <w:p w:rsidR="005D701B" w:rsidRPr="004066F6" w:rsidRDefault="009E3BA2" w:rsidP="00BC6BFB">
      <w:pPr>
        <w:jc w:val="center"/>
        <w:rPr>
          <w:rFonts w:cs="Calibri"/>
          <w:sz w:val="23"/>
          <w:szCs w:val="23"/>
        </w:rPr>
      </w:pPr>
      <w:r>
        <w:rPr>
          <w:noProof/>
          <w:lang w:eastAsia="en-GB"/>
        </w:rPr>
        <mc:AlternateContent>
          <mc:Choice Requires="wps">
            <w:drawing>
              <wp:anchor distT="0" distB="0" distL="114300" distR="114300" simplePos="0" relativeHeight="251657728" behindDoc="0" locked="0" layoutInCell="0" allowOverlap="1">
                <wp:simplePos x="0" y="0"/>
                <wp:positionH relativeFrom="page">
                  <wp:posOffset>1845945</wp:posOffset>
                </wp:positionH>
                <wp:positionV relativeFrom="page">
                  <wp:posOffset>2964180</wp:posOffset>
                </wp:positionV>
                <wp:extent cx="3919855" cy="2301240"/>
                <wp:effectExtent l="7620" t="11430" r="15875"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230124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1772F9" w:rsidRDefault="001772F9" w:rsidP="00DC2795">
                            <w:pPr>
                              <w:spacing w:after="0" w:line="360" w:lineRule="auto"/>
                              <w:jc w:val="center"/>
                              <w:rPr>
                                <w:rFonts w:ascii="Cambria" w:eastAsia="Times New Roman" w:hAnsi="Cambria"/>
                                <w:b/>
                                <w:i/>
                                <w:iCs/>
                                <w:sz w:val="28"/>
                                <w:szCs w:val="28"/>
                              </w:rPr>
                            </w:pPr>
                          </w:p>
                          <w:p w:rsidR="001772F9" w:rsidRDefault="001772F9" w:rsidP="00DC2795">
                            <w:pPr>
                              <w:spacing w:after="0" w:line="360" w:lineRule="auto"/>
                              <w:jc w:val="center"/>
                              <w:rPr>
                                <w:rFonts w:ascii="Cambria" w:eastAsia="Times New Roman" w:hAnsi="Cambria"/>
                                <w:b/>
                                <w:i/>
                                <w:iCs/>
                                <w:sz w:val="28"/>
                                <w:szCs w:val="28"/>
                              </w:rPr>
                            </w:pPr>
                          </w:p>
                          <w:p w:rsidR="001772F9" w:rsidRPr="00F5458C" w:rsidRDefault="001772F9" w:rsidP="00DC2795">
                            <w:pPr>
                              <w:spacing w:after="0" w:line="360" w:lineRule="auto"/>
                              <w:jc w:val="center"/>
                              <w:rPr>
                                <w:rFonts w:eastAsia="Times New Roman" w:cs="Calibri"/>
                                <w:b/>
                                <w:i/>
                                <w:iCs/>
                                <w:sz w:val="24"/>
                                <w:szCs w:val="24"/>
                              </w:rPr>
                            </w:pPr>
                            <w:r w:rsidRPr="00F5458C">
                              <w:rPr>
                                <w:rFonts w:eastAsia="Times New Roman" w:cs="Calibri"/>
                                <w:b/>
                                <w:i/>
                                <w:iCs/>
                                <w:sz w:val="24"/>
                                <w:szCs w:val="24"/>
                              </w:rPr>
                              <w:t>2012 Annual Report to the</w:t>
                            </w:r>
                          </w:p>
                          <w:p w:rsidR="001772F9" w:rsidRPr="00F5458C" w:rsidRDefault="001772F9" w:rsidP="00DC2795">
                            <w:pPr>
                              <w:spacing w:after="0" w:line="360" w:lineRule="auto"/>
                              <w:jc w:val="center"/>
                              <w:rPr>
                                <w:rFonts w:eastAsia="Times New Roman" w:cs="Calibri"/>
                                <w:b/>
                                <w:i/>
                                <w:iCs/>
                                <w:sz w:val="24"/>
                                <w:szCs w:val="24"/>
                              </w:rPr>
                            </w:pPr>
                            <w:r w:rsidRPr="00F5458C">
                              <w:rPr>
                                <w:rFonts w:eastAsia="Times New Roman" w:cs="Calibri"/>
                                <w:b/>
                                <w:i/>
                                <w:iCs/>
                                <w:sz w:val="24"/>
                                <w:szCs w:val="24"/>
                              </w:rPr>
                              <w:t>Trustees of</w:t>
                            </w:r>
                          </w:p>
                          <w:p w:rsidR="001772F9" w:rsidRPr="00F5458C" w:rsidRDefault="001E2401" w:rsidP="00D64CA6">
                            <w:pPr>
                              <w:spacing w:after="0" w:line="360" w:lineRule="auto"/>
                              <w:jc w:val="center"/>
                              <w:rPr>
                                <w:rFonts w:eastAsia="Times New Roman" w:cs="Calibri"/>
                                <w:b/>
                                <w:i/>
                                <w:iCs/>
                                <w:sz w:val="24"/>
                                <w:szCs w:val="24"/>
                              </w:rPr>
                            </w:pPr>
                            <w:r>
                              <w:rPr>
                                <w:rFonts w:eastAsia="Times New Roman" w:cs="Calibri"/>
                                <w:b/>
                                <w:sz w:val="24"/>
                                <w:szCs w:val="24"/>
                                <w:lang w:eastAsia="en-GB"/>
                              </w:rPr>
                              <w:t>Mayfair Estates Property Investment Limited SSAS</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35pt;margin-top:233.4pt;width:308.65pt;height:18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" o:allowincell="f" strokecolor="#95b3d7" strokeweight="1pt">
                <v:fill color2="#b8cce4" focus="100%" type="gradient"/>
                <v:shadow on="t" color="#243f60" opacity=".5" offset="1pt"/>
                <v:textbox inset="10.8pt,7.2pt,10.8pt,7.2pt">
                  <w:txbxContent>
                    <w:p w:rsidR="001772F9" w:rsidRDefault="001772F9" w:rsidP="00DC2795">
                      <w:pPr>
                        <w:spacing w:after="0" w:line="360" w:lineRule="auto"/>
                        <w:jc w:val="center"/>
                        <w:rPr>
                          <w:rFonts w:ascii="Cambria" w:eastAsia="Times New Roman" w:hAnsi="Cambria"/>
                          <w:b/>
                          <w:i/>
                          <w:iCs/>
                          <w:sz w:val="28"/>
                          <w:szCs w:val="28"/>
                        </w:rPr>
                      </w:pPr>
                    </w:p>
                    <w:p w:rsidR="001772F9" w:rsidRDefault="001772F9" w:rsidP="00DC2795">
                      <w:pPr>
                        <w:spacing w:after="0" w:line="360" w:lineRule="auto"/>
                        <w:jc w:val="center"/>
                        <w:rPr>
                          <w:rFonts w:ascii="Cambria" w:eastAsia="Times New Roman" w:hAnsi="Cambria"/>
                          <w:b/>
                          <w:i/>
                          <w:iCs/>
                          <w:sz w:val="28"/>
                          <w:szCs w:val="28"/>
                        </w:rPr>
                      </w:pPr>
                    </w:p>
                    <w:p w:rsidR="001772F9" w:rsidRPr="00F5458C" w:rsidRDefault="001772F9" w:rsidP="00DC2795">
                      <w:pPr>
                        <w:spacing w:after="0" w:line="360" w:lineRule="auto"/>
                        <w:jc w:val="center"/>
                        <w:rPr>
                          <w:rFonts w:eastAsia="Times New Roman" w:cs="Calibri"/>
                          <w:b/>
                          <w:i/>
                          <w:iCs/>
                          <w:sz w:val="24"/>
                          <w:szCs w:val="24"/>
                        </w:rPr>
                      </w:pPr>
                      <w:r w:rsidRPr="00F5458C">
                        <w:rPr>
                          <w:rFonts w:eastAsia="Times New Roman" w:cs="Calibri"/>
                          <w:b/>
                          <w:i/>
                          <w:iCs/>
                          <w:sz w:val="24"/>
                          <w:szCs w:val="24"/>
                        </w:rPr>
                        <w:t>2012 Annual Report to the</w:t>
                      </w:r>
                    </w:p>
                    <w:p w:rsidR="001772F9" w:rsidRPr="00F5458C" w:rsidRDefault="001772F9" w:rsidP="00DC2795">
                      <w:pPr>
                        <w:spacing w:after="0" w:line="360" w:lineRule="auto"/>
                        <w:jc w:val="center"/>
                        <w:rPr>
                          <w:rFonts w:eastAsia="Times New Roman" w:cs="Calibri"/>
                          <w:b/>
                          <w:i/>
                          <w:iCs/>
                          <w:sz w:val="24"/>
                          <w:szCs w:val="24"/>
                        </w:rPr>
                      </w:pPr>
                      <w:r w:rsidRPr="00F5458C">
                        <w:rPr>
                          <w:rFonts w:eastAsia="Times New Roman" w:cs="Calibri"/>
                          <w:b/>
                          <w:i/>
                          <w:iCs/>
                          <w:sz w:val="24"/>
                          <w:szCs w:val="24"/>
                        </w:rPr>
                        <w:t>Trustees of</w:t>
                      </w:r>
                    </w:p>
                    <w:p w:rsidR="001772F9" w:rsidRPr="00F5458C" w:rsidRDefault="001E2401" w:rsidP="00D64CA6">
                      <w:pPr>
                        <w:spacing w:after="0" w:line="360" w:lineRule="auto"/>
                        <w:jc w:val="center"/>
                        <w:rPr>
                          <w:rFonts w:eastAsia="Times New Roman" w:cs="Calibri"/>
                          <w:b/>
                          <w:i/>
                          <w:iCs/>
                          <w:sz w:val="24"/>
                          <w:szCs w:val="24"/>
                        </w:rPr>
                      </w:pPr>
                      <w:r>
                        <w:rPr>
                          <w:rFonts w:eastAsia="Times New Roman" w:cs="Calibri"/>
                          <w:b/>
                          <w:sz w:val="24"/>
                          <w:szCs w:val="24"/>
                          <w:lang w:eastAsia="en-GB"/>
                        </w:rPr>
                        <w:t>Mayfair Estates Property Investment Limited SSAS</w:t>
                      </w:r>
                    </w:p>
                  </w:txbxContent>
                </v:textbox>
                <w10:wrap type="square" anchorx="page" anchory="page"/>
              </v:shape>
            </w:pict>
          </mc:Fallback>
        </mc:AlternateContent>
      </w:r>
    </w:p>
    <w:p w:rsidR="005D701B" w:rsidRPr="004066F6" w:rsidRDefault="005D701B" w:rsidP="00BC6BFB">
      <w:pPr>
        <w:jc w:val="center"/>
        <w:rPr>
          <w:rFonts w:cs="Calibri"/>
          <w:sz w:val="23"/>
          <w:szCs w:val="23"/>
        </w:rPr>
      </w:pPr>
    </w:p>
    <w:p w:rsidR="005D701B" w:rsidRPr="004066F6" w:rsidRDefault="005D701B" w:rsidP="00BC6BFB">
      <w:pPr>
        <w:jc w:val="center"/>
        <w:rPr>
          <w:rFonts w:cs="Calibri"/>
          <w:sz w:val="23"/>
          <w:szCs w:val="23"/>
        </w:rPr>
      </w:pPr>
    </w:p>
    <w:p w:rsidR="005D701B" w:rsidRPr="004066F6" w:rsidRDefault="005D701B" w:rsidP="00BC6BFB">
      <w:pPr>
        <w:jc w:val="center"/>
        <w:rPr>
          <w:rFonts w:cs="Calibri"/>
          <w:sz w:val="23"/>
          <w:szCs w:val="23"/>
        </w:rPr>
      </w:pPr>
    </w:p>
    <w:p w:rsidR="005D701B" w:rsidRPr="004066F6" w:rsidRDefault="005D701B" w:rsidP="00BC6BFB">
      <w:pPr>
        <w:jc w:val="center"/>
        <w:rPr>
          <w:rFonts w:cs="Calibri"/>
          <w:sz w:val="23"/>
          <w:szCs w:val="23"/>
        </w:rPr>
      </w:pPr>
    </w:p>
    <w:p w:rsidR="005D701B" w:rsidRPr="004066F6" w:rsidRDefault="005D701B" w:rsidP="00BC6BFB">
      <w:pPr>
        <w:jc w:val="center"/>
        <w:rPr>
          <w:rFonts w:cs="Calibri"/>
          <w:sz w:val="23"/>
          <w:szCs w:val="23"/>
        </w:rPr>
      </w:pPr>
    </w:p>
    <w:p w:rsidR="005D701B" w:rsidRPr="004066F6" w:rsidRDefault="005D701B" w:rsidP="00BC6BFB">
      <w:pPr>
        <w:jc w:val="center"/>
        <w:rPr>
          <w:rFonts w:cs="Calibri"/>
          <w:sz w:val="23"/>
          <w:szCs w:val="23"/>
        </w:rPr>
      </w:pPr>
    </w:p>
    <w:p w:rsidR="005D701B" w:rsidRPr="004066F6" w:rsidRDefault="005D701B" w:rsidP="00BC6BFB">
      <w:pPr>
        <w:jc w:val="center"/>
        <w:rPr>
          <w:rFonts w:cs="Calibri"/>
          <w:sz w:val="23"/>
          <w:szCs w:val="23"/>
        </w:rPr>
      </w:pPr>
    </w:p>
    <w:p w:rsidR="005D701B" w:rsidRDefault="005D701B" w:rsidP="00BC6BFB">
      <w:pPr>
        <w:jc w:val="center"/>
        <w:rPr>
          <w:rFonts w:cs="Calibri"/>
          <w:sz w:val="23"/>
          <w:szCs w:val="23"/>
        </w:rPr>
      </w:pPr>
    </w:p>
    <w:p w:rsidR="00D10DBC" w:rsidRDefault="00D10DBC" w:rsidP="00D10DBC">
      <w:pPr>
        <w:ind w:left="3600"/>
        <w:rPr>
          <w:rFonts w:cs="Calibri"/>
          <w:i/>
          <w:sz w:val="23"/>
          <w:szCs w:val="23"/>
        </w:rPr>
      </w:pPr>
    </w:p>
    <w:p w:rsidR="00D64CA6" w:rsidRDefault="00D64CA6" w:rsidP="00D10DBC">
      <w:pPr>
        <w:rPr>
          <w:rFonts w:cs="Calibri"/>
          <w:i/>
          <w:sz w:val="23"/>
          <w:szCs w:val="23"/>
        </w:rPr>
      </w:pPr>
    </w:p>
    <w:p w:rsidR="00D64CA6" w:rsidRDefault="00D64CA6" w:rsidP="00D10DBC">
      <w:pPr>
        <w:rPr>
          <w:rFonts w:cs="Calibri"/>
          <w:i/>
          <w:sz w:val="23"/>
          <w:szCs w:val="23"/>
        </w:rPr>
      </w:pPr>
    </w:p>
    <w:p w:rsidR="00D64CA6" w:rsidRDefault="00D64CA6" w:rsidP="00D10DBC">
      <w:pPr>
        <w:rPr>
          <w:rFonts w:cs="Calibri"/>
          <w:i/>
          <w:sz w:val="23"/>
          <w:szCs w:val="23"/>
        </w:rPr>
      </w:pPr>
    </w:p>
    <w:p w:rsidR="00D64CA6" w:rsidRDefault="00D64CA6" w:rsidP="00D10DBC">
      <w:pPr>
        <w:rPr>
          <w:rFonts w:cs="Calibri"/>
          <w:i/>
          <w:sz w:val="23"/>
          <w:szCs w:val="23"/>
        </w:rPr>
      </w:pPr>
    </w:p>
    <w:p w:rsidR="00D64CA6" w:rsidRDefault="00D64CA6" w:rsidP="00D10DBC">
      <w:pPr>
        <w:rPr>
          <w:rFonts w:cs="Calibri"/>
          <w:i/>
          <w:sz w:val="23"/>
          <w:szCs w:val="23"/>
        </w:rPr>
      </w:pPr>
    </w:p>
    <w:p w:rsidR="00FC0DFA" w:rsidRDefault="00FC0DFA" w:rsidP="00D10DBC">
      <w:pPr>
        <w:rPr>
          <w:rFonts w:cs="Calibri"/>
          <w:i/>
          <w:sz w:val="23"/>
          <w:szCs w:val="23"/>
        </w:rPr>
      </w:pPr>
    </w:p>
    <w:p w:rsidR="00FC0DFA" w:rsidRDefault="00FC0DFA" w:rsidP="00D10DBC">
      <w:pPr>
        <w:rPr>
          <w:rFonts w:cs="Calibri"/>
          <w:i/>
          <w:sz w:val="23"/>
          <w:szCs w:val="23"/>
        </w:rPr>
      </w:pPr>
    </w:p>
    <w:p w:rsidR="005D701B" w:rsidRDefault="00D10DBC" w:rsidP="00D10DBC">
      <w:pPr>
        <w:jc w:val="both"/>
        <w:rPr>
          <w:rFonts w:cs="Calibri"/>
          <w:i/>
          <w:sz w:val="23"/>
          <w:szCs w:val="23"/>
        </w:rPr>
      </w:pPr>
      <w:r>
        <w:rPr>
          <w:rFonts w:cs="Calibri"/>
          <w:i/>
          <w:sz w:val="23"/>
          <w:szCs w:val="23"/>
        </w:rPr>
        <w:t xml:space="preserve">    </w:t>
      </w:r>
      <w:r w:rsidR="005D701B" w:rsidRPr="004066F6">
        <w:rPr>
          <w:rFonts w:cs="Calibri"/>
          <w:i/>
          <w:sz w:val="23"/>
          <w:szCs w:val="23"/>
        </w:rPr>
        <w:t>Prepared by:</w:t>
      </w:r>
    </w:p>
    <w:p w:rsidR="00D10DBC" w:rsidRPr="004066F6" w:rsidRDefault="00D10DBC" w:rsidP="00D10DBC">
      <w:pPr>
        <w:jc w:val="both"/>
        <w:rPr>
          <w:rFonts w:cs="Calibri"/>
          <w:i/>
          <w:sz w:val="23"/>
          <w:szCs w:val="23"/>
        </w:rPr>
      </w:pPr>
    </w:p>
    <w:p w:rsidR="00AD0CFE" w:rsidRPr="004066F6" w:rsidRDefault="009E3BA2" w:rsidP="00D10DBC">
      <w:pPr>
        <w:ind w:right="-613"/>
        <w:rPr>
          <w:rFonts w:cs="Calibri"/>
          <w:sz w:val="23"/>
          <w:szCs w:val="23"/>
        </w:rPr>
      </w:pPr>
      <w:r>
        <w:rPr>
          <w:rFonts w:cs="Calibri"/>
          <w:noProof/>
          <w:sz w:val="23"/>
          <w:szCs w:val="23"/>
          <w:lang w:eastAsia="en-GB"/>
        </w:rPr>
        <w:drawing>
          <wp:inline distT="0" distB="0" distL="0" distR="0">
            <wp:extent cx="2552700" cy="723900"/>
            <wp:effectExtent l="0" t="0" r="0" b="0"/>
            <wp:docPr id="1" name="Picture 3" descr="Description: C:\Users\owner\AppData\Local\Temp\Pension Practitioner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owner\AppData\Local\Temp\Pension Practitioner -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723900"/>
                    </a:xfrm>
                    <a:prstGeom prst="rect">
                      <a:avLst/>
                    </a:prstGeom>
                    <a:noFill/>
                    <a:ln>
                      <a:noFill/>
                    </a:ln>
                  </pic:spPr>
                </pic:pic>
              </a:graphicData>
            </a:graphic>
          </wp:inline>
        </w:drawing>
      </w:r>
    </w:p>
    <w:p w:rsidR="004066F6" w:rsidRDefault="004066F6" w:rsidP="00BC6BFB">
      <w:pPr>
        <w:jc w:val="center"/>
        <w:rPr>
          <w:rFonts w:cs="Calibri"/>
          <w:sz w:val="23"/>
          <w:szCs w:val="23"/>
        </w:rPr>
      </w:pPr>
    </w:p>
    <w:p w:rsidR="00C108DC" w:rsidRDefault="00C108DC" w:rsidP="00BC6BFB">
      <w:pPr>
        <w:jc w:val="center"/>
        <w:rPr>
          <w:rFonts w:cs="Calibri"/>
          <w:sz w:val="23"/>
          <w:szCs w:val="23"/>
        </w:rPr>
      </w:pPr>
    </w:p>
    <w:p w:rsidR="00C108DC" w:rsidRPr="004066F6" w:rsidRDefault="00C108DC" w:rsidP="00BC6BFB">
      <w:pPr>
        <w:jc w:val="center"/>
        <w:rPr>
          <w:rFonts w:cs="Calibri"/>
          <w:sz w:val="23"/>
          <w:szCs w:val="23"/>
        </w:rPr>
      </w:pPr>
    </w:p>
    <w:p w:rsidR="00BC6BFB" w:rsidRPr="004066F6" w:rsidRDefault="00BC6BFB" w:rsidP="00BC6BFB">
      <w:pPr>
        <w:pStyle w:val="Title"/>
        <w:rPr>
          <w:rFonts w:ascii="Calibri" w:hAnsi="Calibri" w:cs="Calibri"/>
          <w:i/>
          <w:color w:val="auto"/>
          <w:sz w:val="23"/>
          <w:szCs w:val="23"/>
        </w:rPr>
      </w:pPr>
      <w:r w:rsidRPr="004066F6">
        <w:rPr>
          <w:rFonts w:ascii="Calibri" w:hAnsi="Calibri" w:cs="Calibri"/>
          <w:i/>
          <w:color w:val="auto"/>
          <w:sz w:val="23"/>
          <w:szCs w:val="23"/>
        </w:rPr>
        <w:t>Index</w:t>
      </w:r>
    </w:p>
    <w:p w:rsidR="00BC6BFB" w:rsidRPr="004066F6" w:rsidRDefault="00BC6BFB" w:rsidP="00BC6BFB">
      <w:pPr>
        <w:jc w:val="center"/>
        <w:rPr>
          <w:rFonts w:cs="Calibri"/>
          <w:sz w:val="23"/>
          <w:szCs w:val="23"/>
        </w:rPr>
      </w:pPr>
    </w:p>
    <w:p w:rsidR="00BC6BFB" w:rsidRPr="004066F6" w:rsidRDefault="00BC6BFB" w:rsidP="004066F6">
      <w:pPr>
        <w:pStyle w:val="Quote"/>
        <w:numPr>
          <w:ilvl w:val="0"/>
          <w:numId w:val="3"/>
        </w:numPr>
        <w:rPr>
          <w:rStyle w:val="Emphasis"/>
          <w:rFonts w:cs="Calibri"/>
          <w:i/>
          <w:color w:val="auto"/>
          <w:sz w:val="23"/>
          <w:szCs w:val="23"/>
        </w:rPr>
      </w:pPr>
      <w:r w:rsidRPr="004066F6">
        <w:rPr>
          <w:rStyle w:val="Emphasis"/>
          <w:rFonts w:cs="Calibri"/>
          <w:i/>
          <w:color w:val="auto"/>
          <w:sz w:val="23"/>
          <w:szCs w:val="23"/>
        </w:rPr>
        <w:t>Introduction</w:t>
      </w:r>
    </w:p>
    <w:p w:rsidR="00CB7D56" w:rsidRPr="004066F6" w:rsidRDefault="00CB7D56" w:rsidP="004066F6">
      <w:pPr>
        <w:pStyle w:val="Quote"/>
        <w:numPr>
          <w:ilvl w:val="0"/>
          <w:numId w:val="3"/>
        </w:numPr>
        <w:rPr>
          <w:rStyle w:val="Emphasis"/>
          <w:rFonts w:cs="Calibri"/>
          <w:i/>
          <w:color w:val="auto"/>
          <w:sz w:val="23"/>
          <w:szCs w:val="23"/>
        </w:rPr>
      </w:pPr>
      <w:r w:rsidRPr="004066F6">
        <w:rPr>
          <w:rStyle w:val="Emphasis"/>
          <w:rFonts w:cs="Calibri"/>
          <w:i/>
          <w:color w:val="auto"/>
          <w:sz w:val="23"/>
          <w:szCs w:val="23"/>
        </w:rPr>
        <w:t>Pension scheme return</w:t>
      </w:r>
    </w:p>
    <w:p w:rsidR="00CB7D56" w:rsidRPr="004066F6" w:rsidRDefault="00CB7D56" w:rsidP="004066F6">
      <w:pPr>
        <w:numPr>
          <w:ilvl w:val="0"/>
          <w:numId w:val="3"/>
        </w:numPr>
        <w:rPr>
          <w:rFonts w:cs="Calibri"/>
          <w:i/>
          <w:sz w:val="23"/>
          <w:szCs w:val="23"/>
        </w:rPr>
      </w:pPr>
      <w:r w:rsidRPr="004066F6">
        <w:rPr>
          <w:rFonts w:cs="Calibri"/>
          <w:i/>
          <w:sz w:val="23"/>
          <w:szCs w:val="23"/>
        </w:rPr>
        <w:t>Inflation report  and outlook for 2013</w:t>
      </w:r>
    </w:p>
    <w:p w:rsidR="00CB7D56" w:rsidRPr="004066F6" w:rsidRDefault="004066F6" w:rsidP="004066F6">
      <w:pPr>
        <w:pStyle w:val="Subtitle"/>
        <w:numPr>
          <w:ilvl w:val="0"/>
          <w:numId w:val="3"/>
        </w:numPr>
        <w:rPr>
          <w:rFonts w:ascii="Calibri" w:hAnsi="Calibri" w:cs="Calibri"/>
          <w:color w:val="auto"/>
          <w:sz w:val="23"/>
          <w:szCs w:val="23"/>
        </w:rPr>
      </w:pPr>
      <w:r>
        <w:rPr>
          <w:rFonts w:ascii="Calibri" w:hAnsi="Calibri" w:cs="Calibri"/>
          <w:color w:val="auto"/>
          <w:sz w:val="23"/>
          <w:szCs w:val="23"/>
          <w:lang w:val="en-GB"/>
        </w:rPr>
        <w:t>E</w:t>
      </w:r>
      <w:r w:rsidR="00CB7D56" w:rsidRPr="004066F6">
        <w:rPr>
          <w:rFonts w:ascii="Calibri" w:hAnsi="Calibri" w:cs="Calibri"/>
          <w:color w:val="auto"/>
          <w:sz w:val="23"/>
          <w:szCs w:val="23"/>
          <w:lang w:val="en-GB"/>
        </w:rPr>
        <w:t xml:space="preserve">conomic </w:t>
      </w:r>
      <w:r>
        <w:rPr>
          <w:rFonts w:ascii="Calibri" w:hAnsi="Calibri" w:cs="Calibri"/>
          <w:color w:val="auto"/>
          <w:sz w:val="23"/>
          <w:szCs w:val="23"/>
          <w:lang w:val="en-GB"/>
        </w:rPr>
        <w:t xml:space="preserve">and markets report </w:t>
      </w:r>
    </w:p>
    <w:p w:rsidR="004066F6" w:rsidRDefault="004066F6" w:rsidP="004066F6">
      <w:pPr>
        <w:pStyle w:val="Quote"/>
        <w:numPr>
          <w:ilvl w:val="0"/>
          <w:numId w:val="3"/>
        </w:numPr>
        <w:rPr>
          <w:rStyle w:val="Emphasis"/>
          <w:rFonts w:cs="Calibri"/>
          <w:i/>
          <w:color w:val="auto"/>
          <w:sz w:val="23"/>
          <w:szCs w:val="23"/>
          <w:lang w:val="en-GB"/>
        </w:rPr>
      </w:pPr>
      <w:r w:rsidRPr="004066F6">
        <w:rPr>
          <w:rStyle w:val="Emphasis"/>
          <w:rFonts w:cs="Calibri"/>
          <w:i/>
          <w:color w:val="auto"/>
          <w:sz w:val="23"/>
          <w:szCs w:val="23"/>
          <w:lang w:val="en-GB"/>
        </w:rPr>
        <w:t>Newsletter</w:t>
      </w:r>
    </w:p>
    <w:p w:rsidR="00D64CA6" w:rsidRPr="00BD3F6F" w:rsidRDefault="00D64CA6" w:rsidP="00D64CA6">
      <w:pPr>
        <w:numPr>
          <w:ilvl w:val="0"/>
          <w:numId w:val="3"/>
        </w:numPr>
        <w:rPr>
          <w:rStyle w:val="Emphasis"/>
          <w:rFonts w:cs="Calibri"/>
          <w:sz w:val="23"/>
          <w:szCs w:val="23"/>
        </w:rPr>
      </w:pPr>
      <w:r w:rsidRPr="00BD3F6F">
        <w:rPr>
          <w:rStyle w:val="Emphasis"/>
          <w:rFonts w:cs="Calibri"/>
          <w:sz w:val="23"/>
          <w:szCs w:val="23"/>
        </w:rPr>
        <w:t>Benefit Statement</w:t>
      </w:r>
    </w:p>
    <w:p w:rsidR="00D64CA6" w:rsidRPr="00D64CA6" w:rsidRDefault="00D64CA6" w:rsidP="00D64CA6"/>
    <w:p w:rsidR="00250D5A" w:rsidRPr="004066F6" w:rsidRDefault="005C281B" w:rsidP="004C346C">
      <w:pPr>
        <w:pStyle w:val="Heading2"/>
        <w:ind w:left="720"/>
        <w:rPr>
          <w:rStyle w:val="IntenseEmphasis"/>
          <w:rFonts w:ascii="Calibri" w:hAnsi="Calibri" w:cs="Calibri"/>
          <w:i w:val="0"/>
          <w:color w:val="000000"/>
          <w:sz w:val="23"/>
          <w:szCs w:val="23"/>
        </w:rPr>
      </w:pPr>
      <w:r w:rsidRPr="004066F6">
        <w:rPr>
          <w:rStyle w:val="IntenseEmphasis"/>
          <w:rFonts w:ascii="Calibri" w:hAnsi="Calibri" w:cs="Calibri"/>
          <w:i w:val="0"/>
          <w:color w:val="31849B"/>
          <w:sz w:val="23"/>
          <w:szCs w:val="23"/>
        </w:rPr>
        <w:br/>
      </w:r>
      <w:r w:rsidR="006D7433" w:rsidRPr="004066F6">
        <w:rPr>
          <w:rStyle w:val="IntenseEmphasis"/>
          <w:rFonts w:ascii="Calibri" w:hAnsi="Calibri" w:cs="Calibri"/>
          <w:i w:val="0"/>
          <w:color w:val="31849B"/>
          <w:sz w:val="23"/>
          <w:szCs w:val="23"/>
        </w:rPr>
        <w:t xml:space="preserve"> </w:t>
      </w:r>
      <w:r w:rsidRPr="004066F6">
        <w:rPr>
          <w:rStyle w:val="IntenseEmphasis"/>
          <w:rFonts w:ascii="Calibri" w:hAnsi="Calibri" w:cs="Calibri"/>
          <w:i w:val="0"/>
          <w:color w:val="31849B"/>
          <w:sz w:val="23"/>
          <w:szCs w:val="23"/>
        </w:rPr>
        <w:br/>
      </w:r>
      <w:r w:rsidR="00250D5A" w:rsidRPr="004066F6">
        <w:rPr>
          <w:rStyle w:val="IntenseEmphasis"/>
          <w:rFonts w:ascii="Calibri" w:hAnsi="Calibri" w:cs="Calibri"/>
          <w:i w:val="0"/>
          <w:color w:val="31849B"/>
          <w:sz w:val="23"/>
          <w:szCs w:val="23"/>
        </w:rPr>
        <w:br/>
      </w:r>
      <w:r w:rsidR="00853D11" w:rsidRPr="004066F6">
        <w:rPr>
          <w:rStyle w:val="IntenseEmphasis"/>
          <w:rFonts w:ascii="Calibri" w:hAnsi="Calibri" w:cs="Calibri"/>
          <w:i w:val="0"/>
          <w:color w:val="000000"/>
          <w:sz w:val="23"/>
          <w:szCs w:val="23"/>
        </w:rPr>
        <w:br/>
      </w:r>
    </w:p>
    <w:p w:rsidR="00853D11" w:rsidRPr="004066F6" w:rsidRDefault="00853D11" w:rsidP="00853D11">
      <w:pPr>
        <w:rPr>
          <w:rFonts w:cs="Calibri"/>
          <w:sz w:val="23"/>
          <w:szCs w:val="23"/>
        </w:rPr>
      </w:pPr>
    </w:p>
    <w:p w:rsidR="00853D11" w:rsidRPr="004066F6" w:rsidRDefault="00853D11" w:rsidP="00853D11">
      <w:pPr>
        <w:rPr>
          <w:rFonts w:cs="Calibri"/>
          <w:sz w:val="23"/>
          <w:szCs w:val="23"/>
        </w:rPr>
      </w:pPr>
    </w:p>
    <w:p w:rsidR="00250D5A" w:rsidRPr="004066F6" w:rsidRDefault="00250D5A" w:rsidP="00250D5A">
      <w:pPr>
        <w:pStyle w:val="Heading2"/>
        <w:ind w:left="720"/>
        <w:rPr>
          <w:rFonts w:ascii="Calibri" w:hAnsi="Calibri" w:cs="Calibri"/>
          <w:b w:val="0"/>
          <w:i/>
          <w:iCs/>
          <w:color w:val="000000"/>
          <w:sz w:val="23"/>
          <w:szCs w:val="23"/>
        </w:rPr>
      </w:pPr>
    </w:p>
    <w:p w:rsidR="00BC6BFB" w:rsidRPr="004066F6" w:rsidRDefault="00BC6BFB" w:rsidP="006A3B9C">
      <w:pPr>
        <w:pStyle w:val="Heading2"/>
        <w:ind w:left="720"/>
        <w:rPr>
          <w:rStyle w:val="IntenseEmphasis"/>
          <w:rFonts w:ascii="Calibri" w:hAnsi="Calibri" w:cs="Calibri"/>
          <w:color w:val="000000"/>
          <w:sz w:val="23"/>
          <w:szCs w:val="23"/>
        </w:rPr>
      </w:pPr>
    </w:p>
    <w:p w:rsidR="006A3B9C" w:rsidRPr="004066F6" w:rsidRDefault="006A3B9C" w:rsidP="006A3B9C">
      <w:pPr>
        <w:rPr>
          <w:rFonts w:cs="Calibri"/>
          <w:sz w:val="23"/>
          <w:szCs w:val="23"/>
        </w:rPr>
      </w:pPr>
    </w:p>
    <w:p w:rsidR="00BC6BFB" w:rsidRPr="004066F6" w:rsidRDefault="00BC6BFB" w:rsidP="00BC6BFB">
      <w:pPr>
        <w:jc w:val="center"/>
        <w:rPr>
          <w:rFonts w:cs="Calibri"/>
          <w:sz w:val="23"/>
          <w:szCs w:val="23"/>
        </w:rPr>
      </w:pPr>
    </w:p>
    <w:p w:rsidR="00BC6BFB" w:rsidRDefault="00BC6BFB" w:rsidP="00BC6BFB">
      <w:pPr>
        <w:jc w:val="center"/>
        <w:rPr>
          <w:rFonts w:cs="Calibri"/>
          <w:sz w:val="23"/>
          <w:szCs w:val="23"/>
        </w:rPr>
      </w:pPr>
    </w:p>
    <w:p w:rsidR="00D25B8B" w:rsidRDefault="00D25B8B" w:rsidP="00BC6BFB">
      <w:pPr>
        <w:jc w:val="center"/>
        <w:rPr>
          <w:rFonts w:cs="Calibri"/>
          <w:sz w:val="23"/>
          <w:szCs w:val="23"/>
        </w:rPr>
      </w:pPr>
    </w:p>
    <w:p w:rsidR="00D25B8B" w:rsidRDefault="00D25B8B" w:rsidP="00BC6BFB">
      <w:pPr>
        <w:jc w:val="center"/>
        <w:rPr>
          <w:rFonts w:cs="Calibri"/>
          <w:sz w:val="23"/>
          <w:szCs w:val="23"/>
        </w:rPr>
      </w:pPr>
    </w:p>
    <w:p w:rsidR="00D25B8B" w:rsidRDefault="00D25B8B" w:rsidP="00BC6BFB">
      <w:pPr>
        <w:jc w:val="center"/>
        <w:rPr>
          <w:rFonts w:cs="Calibri"/>
          <w:sz w:val="23"/>
          <w:szCs w:val="23"/>
        </w:rPr>
      </w:pPr>
    </w:p>
    <w:p w:rsidR="00D25B8B" w:rsidRPr="004066F6" w:rsidRDefault="00D25B8B" w:rsidP="00BC6BFB">
      <w:pPr>
        <w:jc w:val="center"/>
        <w:rPr>
          <w:rFonts w:cs="Calibri"/>
          <w:sz w:val="23"/>
          <w:szCs w:val="23"/>
        </w:rPr>
      </w:pPr>
    </w:p>
    <w:p w:rsidR="00BC6BFB" w:rsidRPr="004066F6" w:rsidRDefault="00BC6BFB" w:rsidP="00BC6BFB">
      <w:pPr>
        <w:jc w:val="center"/>
        <w:rPr>
          <w:rFonts w:cs="Calibri"/>
          <w:sz w:val="23"/>
          <w:szCs w:val="23"/>
        </w:rPr>
      </w:pPr>
    </w:p>
    <w:p w:rsidR="00BC6BFB" w:rsidRPr="004066F6" w:rsidRDefault="00BC6BFB" w:rsidP="00BC6BFB">
      <w:pPr>
        <w:pStyle w:val="Title"/>
        <w:rPr>
          <w:rFonts w:ascii="Calibri" w:hAnsi="Calibri" w:cs="Calibri"/>
          <w:sz w:val="23"/>
          <w:szCs w:val="23"/>
        </w:rPr>
      </w:pPr>
    </w:p>
    <w:p w:rsidR="00BC6BFB" w:rsidRPr="00A152BC" w:rsidRDefault="00BC6BFB" w:rsidP="004066F6">
      <w:pPr>
        <w:pStyle w:val="Subtitle"/>
        <w:numPr>
          <w:ilvl w:val="0"/>
          <w:numId w:val="1"/>
        </w:numPr>
        <w:rPr>
          <w:rFonts w:ascii="Calibri" w:hAnsi="Calibri" w:cs="Calibri"/>
          <w:b/>
          <w:lang w:val="en-GB"/>
        </w:rPr>
      </w:pPr>
      <w:r w:rsidRPr="00445D60">
        <w:rPr>
          <w:rStyle w:val="IntenseEmphasis"/>
          <w:rFonts w:ascii="Calibri" w:hAnsi="Calibri" w:cs="Calibri"/>
          <w:b w:val="0"/>
          <w:bCs w:val="0"/>
          <w:iCs/>
          <w:color w:val="31849B"/>
        </w:rPr>
        <w:t>Introduction</w:t>
      </w:r>
    </w:p>
    <w:p w:rsidR="00DC2795" w:rsidRPr="00DC2795" w:rsidRDefault="00DC2795" w:rsidP="00DC2795">
      <w:pPr>
        <w:rPr>
          <w:lang w:eastAsia="x-none"/>
        </w:rPr>
      </w:pPr>
    </w:p>
    <w:p w:rsidR="00334700" w:rsidRPr="004066F6" w:rsidRDefault="00334700" w:rsidP="006848C4">
      <w:pPr>
        <w:jc w:val="both"/>
        <w:rPr>
          <w:rFonts w:cs="Calibri"/>
          <w:sz w:val="23"/>
          <w:szCs w:val="23"/>
        </w:rPr>
      </w:pPr>
      <w:r w:rsidRPr="004066F6">
        <w:rPr>
          <w:rFonts w:cs="Calibri"/>
          <w:sz w:val="23"/>
          <w:szCs w:val="23"/>
        </w:rPr>
        <w:t>We are pleased to enclose our annual report to the Trustees.</w:t>
      </w:r>
    </w:p>
    <w:p w:rsidR="00334700" w:rsidRPr="004066F6" w:rsidRDefault="00334700" w:rsidP="006848C4">
      <w:pPr>
        <w:jc w:val="both"/>
        <w:rPr>
          <w:rFonts w:cs="Calibri"/>
          <w:sz w:val="23"/>
          <w:szCs w:val="23"/>
        </w:rPr>
      </w:pPr>
      <w:r w:rsidRPr="004066F6">
        <w:rPr>
          <w:rFonts w:cs="Calibri"/>
          <w:sz w:val="23"/>
          <w:szCs w:val="23"/>
        </w:rPr>
        <w:t>This report provides a copy of our tax submissions to HM Revenue &amp; Customs on your behalf. Please take the time to review this and advise us of anything that you are not in agreement with.</w:t>
      </w:r>
      <w:r w:rsidR="008836C9" w:rsidRPr="004066F6">
        <w:rPr>
          <w:rFonts w:cs="Calibri"/>
          <w:sz w:val="23"/>
          <w:szCs w:val="23"/>
        </w:rPr>
        <w:t xml:space="preserve"> </w:t>
      </w:r>
    </w:p>
    <w:p w:rsidR="00334700" w:rsidRPr="004066F6" w:rsidRDefault="00F10885" w:rsidP="006848C4">
      <w:pPr>
        <w:jc w:val="both"/>
        <w:rPr>
          <w:rFonts w:cs="Calibri"/>
          <w:sz w:val="23"/>
          <w:szCs w:val="23"/>
        </w:rPr>
      </w:pPr>
      <w:r>
        <w:rPr>
          <w:rFonts w:cs="Calibri"/>
          <w:sz w:val="23"/>
          <w:szCs w:val="23"/>
        </w:rPr>
        <w:t xml:space="preserve">In addition </w:t>
      </w:r>
      <w:r w:rsidR="00334700" w:rsidRPr="004066F6">
        <w:rPr>
          <w:rFonts w:cs="Calibri"/>
          <w:sz w:val="23"/>
          <w:szCs w:val="23"/>
        </w:rPr>
        <w:t>to this, we have also prepared the following for you.</w:t>
      </w:r>
    </w:p>
    <w:p w:rsidR="00585481" w:rsidRPr="004066F6" w:rsidRDefault="00334700" w:rsidP="004066F6">
      <w:pPr>
        <w:numPr>
          <w:ilvl w:val="0"/>
          <w:numId w:val="4"/>
        </w:numPr>
        <w:rPr>
          <w:rFonts w:cs="Calibri"/>
          <w:sz w:val="23"/>
          <w:szCs w:val="23"/>
        </w:rPr>
      </w:pPr>
      <w:r w:rsidRPr="004066F6">
        <w:rPr>
          <w:rFonts w:cs="Calibri"/>
          <w:sz w:val="23"/>
          <w:szCs w:val="23"/>
        </w:rPr>
        <w:t>In</w:t>
      </w:r>
      <w:r w:rsidR="004C346C" w:rsidRPr="004066F6">
        <w:rPr>
          <w:rFonts w:cs="Calibri"/>
          <w:sz w:val="23"/>
          <w:szCs w:val="23"/>
        </w:rPr>
        <w:t xml:space="preserve">flation report </w:t>
      </w:r>
      <w:r w:rsidR="00585481" w:rsidRPr="004066F6">
        <w:rPr>
          <w:rFonts w:cs="Calibri"/>
          <w:sz w:val="23"/>
          <w:szCs w:val="23"/>
        </w:rPr>
        <w:t xml:space="preserve"> and outlook for 2013</w:t>
      </w:r>
    </w:p>
    <w:p w:rsidR="00585481" w:rsidRPr="004066F6" w:rsidRDefault="00334700" w:rsidP="004066F6">
      <w:pPr>
        <w:numPr>
          <w:ilvl w:val="0"/>
          <w:numId w:val="4"/>
        </w:numPr>
        <w:rPr>
          <w:rFonts w:cs="Calibri"/>
          <w:sz w:val="23"/>
          <w:szCs w:val="23"/>
        </w:rPr>
      </w:pPr>
      <w:r w:rsidRPr="004066F6">
        <w:rPr>
          <w:rFonts w:cs="Calibri"/>
          <w:sz w:val="23"/>
          <w:szCs w:val="23"/>
        </w:rPr>
        <w:t xml:space="preserve">Economic </w:t>
      </w:r>
      <w:r w:rsidR="004066F6" w:rsidRPr="004066F6">
        <w:rPr>
          <w:rFonts w:cs="Calibri"/>
          <w:sz w:val="23"/>
          <w:szCs w:val="23"/>
        </w:rPr>
        <w:t>and markets report</w:t>
      </w:r>
    </w:p>
    <w:p w:rsidR="00585481" w:rsidRPr="004066F6" w:rsidRDefault="00585481" w:rsidP="004066F6">
      <w:pPr>
        <w:numPr>
          <w:ilvl w:val="0"/>
          <w:numId w:val="4"/>
        </w:numPr>
        <w:rPr>
          <w:rFonts w:cs="Calibri"/>
          <w:sz w:val="23"/>
          <w:szCs w:val="23"/>
        </w:rPr>
      </w:pPr>
      <w:r w:rsidRPr="004066F6">
        <w:rPr>
          <w:rFonts w:cs="Calibri"/>
          <w:sz w:val="23"/>
          <w:szCs w:val="23"/>
        </w:rPr>
        <w:t>A copy of our most recent newsletter</w:t>
      </w:r>
    </w:p>
    <w:p w:rsidR="00EA1321" w:rsidRDefault="00585481" w:rsidP="00585481">
      <w:pPr>
        <w:jc w:val="both"/>
        <w:rPr>
          <w:rFonts w:cs="Calibri"/>
          <w:sz w:val="23"/>
          <w:szCs w:val="23"/>
        </w:rPr>
      </w:pPr>
      <w:r w:rsidRPr="004066F6">
        <w:rPr>
          <w:rFonts w:cs="Calibri"/>
          <w:sz w:val="23"/>
          <w:szCs w:val="23"/>
        </w:rPr>
        <w:t xml:space="preserve">You should also receive </w:t>
      </w:r>
      <w:r w:rsidR="00F10885">
        <w:rPr>
          <w:rFonts w:cs="Calibri"/>
          <w:sz w:val="23"/>
          <w:szCs w:val="23"/>
        </w:rPr>
        <w:t>our tri-annual</w:t>
      </w:r>
      <w:r w:rsidRPr="004066F6">
        <w:rPr>
          <w:rFonts w:cs="Calibri"/>
          <w:sz w:val="23"/>
          <w:szCs w:val="23"/>
        </w:rPr>
        <w:t xml:space="preserve"> newsletter from our pension consultancy team</w:t>
      </w:r>
      <w:r w:rsidR="008836C9" w:rsidRPr="004066F6">
        <w:rPr>
          <w:rFonts w:cs="Calibri"/>
          <w:sz w:val="23"/>
          <w:szCs w:val="23"/>
        </w:rPr>
        <w:t>. If you are not receiving this</w:t>
      </w:r>
      <w:r w:rsidRPr="004066F6">
        <w:rPr>
          <w:rFonts w:cs="Calibri"/>
          <w:sz w:val="23"/>
          <w:szCs w:val="23"/>
        </w:rPr>
        <w:t>, please let us know.</w:t>
      </w:r>
    </w:p>
    <w:p w:rsidR="00585481" w:rsidRDefault="00585481" w:rsidP="00585481">
      <w:pPr>
        <w:jc w:val="both"/>
        <w:rPr>
          <w:rFonts w:cs="Calibri"/>
          <w:sz w:val="23"/>
          <w:szCs w:val="23"/>
        </w:rPr>
      </w:pPr>
    </w:p>
    <w:p w:rsidR="00D25B8B" w:rsidRPr="004066F6" w:rsidRDefault="00D25B8B" w:rsidP="00585481">
      <w:pPr>
        <w:jc w:val="both"/>
        <w:rPr>
          <w:rFonts w:cs="Calibri"/>
          <w:sz w:val="23"/>
          <w:szCs w:val="23"/>
        </w:rPr>
      </w:pPr>
    </w:p>
    <w:p w:rsidR="002A6517" w:rsidRPr="004066F6" w:rsidRDefault="002A6517" w:rsidP="006848C4">
      <w:pPr>
        <w:jc w:val="both"/>
        <w:rPr>
          <w:rFonts w:cs="Calibri"/>
          <w:sz w:val="23"/>
          <w:szCs w:val="23"/>
        </w:rPr>
      </w:pPr>
    </w:p>
    <w:p w:rsidR="002A6517" w:rsidRPr="004066F6" w:rsidRDefault="002A6517" w:rsidP="006848C4">
      <w:pPr>
        <w:jc w:val="both"/>
        <w:rPr>
          <w:rFonts w:cs="Calibri"/>
          <w:sz w:val="23"/>
          <w:szCs w:val="23"/>
        </w:rPr>
      </w:pPr>
    </w:p>
    <w:p w:rsidR="002A6517" w:rsidRPr="004066F6" w:rsidRDefault="002A6517" w:rsidP="00BC6BFB">
      <w:pPr>
        <w:jc w:val="both"/>
        <w:rPr>
          <w:rFonts w:cs="Calibri"/>
          <w:sz w:val="23"/>
          <w:szCs w:val="23"/>
        </w:rPr>
      </w:pPr>
    </w:p>
    <w:p w:rsidR="002A6517" w:rsidRDefault="002A6517" w:rsidP="00BC6BFB">
      <w:pPr>
        <w:jc w:val="both"/>
        <w:rPr>
          <w:rFonts w:cs="Calibri"/>
          <w:sz w:val="23"/>
          <w:szCs w:val="23"/>
        </w:rPr>
      </w:pPr>
    </w:p>
    <w:p w:rsidR="00C108DC" w:rsidRDefault="00C108DC" w:rsidP="00BC6BFB">
      <w:pPr>
        <w:jc w:val="both"/>
        <w:rPr>
          <w:rFonts w:cs="Calibri"/>
          <w:sz w:val="23"/>
          <w:szCs w:val="23"/>
        </w:rPr>
      </w:pPr>
    </w:p>
    <w:p w:rsidR="00C108DC" w:rsidRPr="004066F6" w:rsidRDefault="00C108DC" w:rsidP="00BC6BFB">
      <w:pPr>
        <w:jc w:val="both"/>
        <w:rPr>
          <w:rFonts w:cs="Calibri"/>
          <w:sz w:val="23"/>
          <w:szCs w:val="23"/>
        </w:rPr>
      </w:pPr>
    </w:p>
    <w:p w:rsidR="00AD0CFE" w:rsidRPr="004066F6" w:rsidRDefault="00AD0CFE" w:rsidP="00BC6BFB">
      <w:pPr>
        <w:jc w:val="both"/>
        <w:rPr>
          <w:rFonts w:cs="Calibri"/>
          <w:sz w:val="23"/>
          <w:szCs w:val="23"/>
        </w:rPr>
      </w:pPr>
    </w:p>
    <w:p w:rsidR="00877765" w:rsidRPr="004066F6" w:rsidRDefault="00877765" w:rsidP="00BC6BFB">
      <w:pPr>
        <w:jc w:val="both"/>
        <w:rPr>
          <w:rFonts w:cs="Calibri"/>
          <w:sz w:val="23"/>
          <w:szCs w:val="23"/>
        </w:rPr>
      </w:pPr>
    </w:p>
    <w:p w:rsidR="008836C9" w:rsidRPr="004066F6" w:rsidRDefault="008836C9" w:rsidP="00BC6BFB">
      <w:pPr>
        <w:jc w:val="both"/>
        <w:rPr>
          <w:rFonts w:cs="Calibri"/>
          <w:sz w:val="23"/>
          <w:szCs w:val="23"/>
        </w:rPr>
      </w:pPr>
    </w:p>
    <w:p w:rsidR="00877765" w:rsidRPr="004066F6" w:rsidRDefault="00877765" w:rsidP="00BC6BFB">
      <w:pPr>
        <w:jc w:val="both"/>
        <w:rPr>
          <w:rFonts w:cs="Calibri"/>
          <w:sz w:val="23"/>
          <w:szCs w:val="23"/>
        </w:rPr>
      </w:pPr>
    </w:p>
    <w:p w:rsidR="002A6517" w:rsidRDefault="002A6517" w:rsidP="00BC6BFB">
      <w:pPr>
        <w:jc w:val="both"/>
        <w:rPr>
          <w:rFonts w:cs="Calibri"/>
          <w:sz w:val="23"/>
          <w:szCs w:val="23"/>
        </w:rPr>
      </w:pPr>
    </w:p>
    <w:p w:rsidR="00F10885" w:rsidRPr="004066F6" w:rsidRDefault="00F10885" w:rsidP="00BC6BFB">
      <w:pPr>
        <w:jc w:val="both"/>
        <w:rPr>
          <w:rFonts w:cs="Calibri"/>
          <w:sz w:val="23"/>
          <w:szCs w:val="23"/>
        </w:rPr>
      </w:pPr>
    </w:p>
    <w:p w:rsidR="002A6517" w:rsidRPr="004066F6" w:rsidRDefault="002A6517" w:rsidP="00BC6BFB">
      <w:pPr>
        <w:jc w:val="both"/>
        <w:rPr>
          <w:rFonts w:cs="Calibri"/>
          <w:sz w:val="23"/>
          <w:szCs w:val="23"/>
        </w:rPr>
      </w:pPr>
    </w:p>
    <w:p w:rsidR="00877765" w:rsidRPr="00DC2795" w:rsidRDefault="00877765" w:rsidP="00877765">
      <w:pPr>
        <w:pStyle w:val="Title"/>
        <w:rPr>
          <w:rFonts w:ascii="Calibri" w:hAnsi="Calibri" w:cs="Calibri"/>
          <w:sz w:val="23"/>
          <w:szCs w:val="23"/>
          <w:lang w:val="en-GB"/>
        </w:rPr>
      </w:pPr>
    </w:p>
    <w:p w:rsidR="00877765" w:rsidRDefault="00877765" w:rsidP="004066F6">
      <w:pPr>
        <w:pStyle w:val="Subtitle"/>
        <w:numPr>
          <w:ilvl w:val="0"/>
          <w:numId w:val="1"/>
        </w:numPr>
        <w:rPr>
          <w:rStyle w:val="IntenseEmphasis"/>
          <w:rFonts w:ascii="Calibri" w:hAnsi="Calibri" w:cs="Calibri"/>
          <w:b w:val="0"/>
          <w:bCs w:val="0"/>
          <w:iCs/>
          <w:color w:val="31849B"/>
          <w:lang w:val="en-GB"/>
        </w:rPr>
      </w:pPr>
      <w:r w:rsidRPr="00445D60">
        <w:rPr>
          <w:rStyle w:val="IntenseEmphasis"/>
          <w:rFonts w:ascii="Calibri" w:hAnsi="Calibri" w:cs="Calibri"/>
          <w:b w:val="0"/>
          <w:bCs w:val="0"/>
          <w:iCs/>
          <w:color w:val="31849B"/>
        </w:rPr>
        <w:t>Pension Scheme Return</w:t>
      </w:r>
    </w:p>
    <w:p w:rsidR="002725C2" w:rsidRDefault="002725C2" w:rsidP="002725C2">
      <w:pPr>
        <w:shd w:val="clear" w:color="auto" w:fill="FFFFFF"/>
        <w:spacing w:after="0" w:line="235" w:lineRule="atLeast"/>
        <w:rPr>
          <w:rFonts w:ascii="Verdana" w:eastAsia="Times New Roman" w:hAnsi="Verdana"/>
          <w:b/>
          <w:bCs/>
          <w:color w:val="009966"/>
          <w:sz w:val="18"/>
          <w:szCs w:val="18"/>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1E2401" w:rsidRPr="001E2401" w:rsidRDefault="001E2401" w:rsidP="001E2401">
      <w:pPr>
        <w:shd w:val="clear" w:color="auto" w:fill="FFFFFF"/>
        <w:spacing w:after="0" w:line="235" w:lineRule="atLeast"/>
        <w:rPr>
          <w:rFonts w:ascii="Verdana" w:eastAsia="Times New Roman" w:hAnsi="Verdana"/>
          <w:b/>
          <w:bCs/>
          <w:color w:val="009966"/>
          <w:sz w:val="18"/>
          <w:szCs w:val="18"/>
          <w:lang w:eastAsia="en-GB"/>
        </w:rPr>
      </w:pPr>
      <w:r w:rsidRPr="001E2401">
        <w:rPr>
          <w:rFonts w:ascii="Verdana" w:eastAsia="Times New Roman" w:hAnsi="Verdana"/>
          <w:b/>
          <w:bCs/>
          <w:color w:val="009966"/>
          <w:sz w:val="18"/>
          <w:szCs w:val="18"/>
          <w:lang w:eastAsia="en-GB"/>
        </w:rPr>
        <w:t>Details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1E2401" w:rsidRPr="001E2401" w:rsidTr="001E2401">
        <w:trPr>
          <w:tblCellSpacing w:w="15" w:type="dxa"/>
        </w:trPr>
        <w:tc>
          <w:tcPr>
            <w:tcW w:w="250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Pension Scheme Tax Reference</w:t>
            </w:r>
          </w:p>
        </w:tc>
        <w:tc>
          <w:tcPr>
            <w:tcW w:w="25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00774323RH</w:t>
            </w:r>
          </w:p>
        </w:tc>
      </w:tr>
      <w:tr w:rsidR="001E2401" w:rsidRPr="001E2401" w:rsidTr="001E2401">
        <w:trPr>
          <w:tblCellSpacing w:w="15" w:type="dxa"/>
        </w:trPr>
        <w:tc>
          <w:tcPr>
            <w:tcW w:w="0" w:type="auto"/>
            <w:shd w:val="clear" w:color="auto" w:fill="FFFFFF"/>
            <w:tcMar>
              <w:top w:w="45" w:type="dxa"/>
              <w:left w:w="45" w:type="dxa"/>
              <w:bottom w:w="45" w:type="dxa"/>
              <w:right w:w="45" w:type="dxa"/>
            </w:tcMa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Pension Scheme Name</w:t>
            </w: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Mayfair Estates Property Investment Limited SSAS</w:t>
            </w:r>
          </w:p>
        </w:tc>
      </w:tr>
      <w:tr w:rsidR="001E2401" w:rsidRPr="001E2401" w:rsidTr="001E2401">
        <w:trPr>
          <w:tblCellSpacing w:w="15" w:type="dxa"/>
        </w:trPr>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Is the scheme an Occupational scheme?</w:t>
            </w: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Yes</w:t>
            </w:r>
          </w:p>
        </w:tc>
      </w:tr>
      <w:tr w:rsidR="001E2401" w:rsidRPr="001E2401" w:rsidTr="001E2401">
        <w:trPr>
          <w:tblCellSpacing w:w="15" w:type="dxa"/>
        </w:trPr>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Tax Year ended</w:t>
            </w: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05 Apr 2012</w:t>
            </w:r>
          </w:p>
        </w:tc>
      </w:tr>
      <w:tr w:rsidR="001E2401" w:rsidRPr="001E2401" w:rsidTr="001E2401">
        <w:trPr>
          <w:tblCellSpacing w:w="15" w:type="dxa"/>
        </w:trPr>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Date submitted</w:t>
            </w: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08 Aug 2012</w:t>
            </w:r>
          </w:p>
        </w:tc>
      </w:tr>
      <w:tr w:rsidR="001E2401" w:rsidRPr="001E2401" w:rsidTr="001E2401">
        <w:trPr>
          <w:tblCellSpacing w:w="15" w:type="dxa"/>
        </w:trPr>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Submitted by</w:t>
            </w: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Pension Practitioner.Com ltd</w:t>
            </w:r>
          </w:p>
        </w:tc>
      </w:tr>
      <w:tr w:rsidR="001E2401" w:rsidRPr="001E2401" w:rsidTr="001E2401">
        <w:trPr>
          <w:tblCellSpacing w:w="15" w:type="dxa"/>
        </w:trPr>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Scheme Administrator</w:t>
            </w: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Mayfair Estates Property Investment Limited</w:t>
            </w:r>
          </w:p>
        </w:tc>
      </w:tr>
    </w:tbl>
    <w:p w:rsidR="001E2401" w:rsidRPr="001E2401" w:rsidRDefault="001E2401" w:rsidP="001E2401">
      <w:pPr>
        <w:spacing w:after="0" w:line="240" w:lineRule="auto"/>
        <w:rPr>
          <w:rFonts w:ascii="Times New Roman" w:eastAsia="Times New Roman" w:hAnsi="Times New Roman"/>
          <w:sz w:val="24"/>
          <w:szCs w:val="24"/>
          <w:lang w:eastAsia="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1E2401" w:rsidRPr="001E2401" w:rsidTr="001E2401">
        <w:trPr>
          <w:tblCellSpacing w:w="15" w:type="dxa"/>
        </w:trPr>
        <w:tc>
          <w:tcPr>
            <w:tcW w:w="250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Amended Return</w:t>
            </w:r>
          </w:p>
        </w:tc>
        <w:tc>
          <w:tcPr>
            <w:tcW w:w="25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No</w:t>
            </w:r>
          </w:p>
        </w:tc>
      </w:tr>
    </w:tbl>
    <w:p w:rsidR="001E2401" w:rsidRPr="001E2401" w:rsidRDefault="001E2401" w:rsidP="001E2401">
      <w:pPr>
        <w:spacing w:after="0" w:line="240" w:lineRule="auto"/>
        <w:rPr>
          <w:rFonts w:ascii="Times New Roman" w:eastAsia="Times New Roman" w:hAnsi="Times New Roman"/>
          <w:vanish/>
          <w:sz w:val="24"/>
          <w:szCs w:val="24"/>
          <w:lang w:eastAsia="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1E2401" w:rsidRPr="001E2401" w:rsidTr="001E2401">
        <w:trPr>
          <w:tblCellSpacing w:w="15" w:type="dxa"/>
        </w:trPr>
        <w:tc>
          <w:tcPr>
            <w:tcW w:w="250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Accounting Period</w:t>
            </w:r>
          </w:p>
        </w:tc>
        <w:tc>
          <w:tcPr>
            <w:tcW w:w="25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06 Apr 2011 - 05 Apr 2012</w:t>
            </w:r>
          </w:p>
        </w:tc>
      </w:tr>
    </w:tbl>
    <w:p w:rsidR="001E2401" w:rsidRPr="001E2401" w:rsidRDefault="001E2401" w:rsidP="001E2401">
      <w:pPr>
        <w:spacing w:after="0" w:line="240" w:lineRule="auto"/>
        <w:rPr>
          <w:rFonts w:ascii="Times New Roman" w:eastAsia="Times New Roman" w:hAnsi="Times New Roman"/>
          <w:sz w:val="24"/>
          <w:szCs w:val="24"/>
          <w:lang w:eastAsia="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1E2401" w:rsidRPr="001E2401" w:rsidTr="001E2401">
        <w:trPr>
          <w:tblCellSpacing w:w="15" w:type="dxa"/>
        </w:trPr>
        <w:tc>
          <w:tcPr>
            <w:tcW w:w="2500" w:type="pct"/>
            <w:shd w:val="clear" w:color="auto" w:fill="FFFFFF"/>
            <w:tcMar>
              <w:top w:w="45" w:type="dxa"/>
              <w:left w:w="45" w:type="dxa"/>
              <w:bottom w:w="45" w:type="dxa"/>
              <w:right w:w="45" w:type="dxa"/>
            </w:tcMa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Yes</w:t>
            </w:r>
          </w:p>
        </w:tc>
      </w:tr>
    </w:tbl>
    <w:p w:rsidR="001E2401" w:rsidRPr="001E2401" w:rsidRDefault="001E2401" w:rsidP="001E2401">
      <w:pPr>
        <w:spacing w:after="0" w:line="240" w:lineRule="auto"/>
        <w:rPr>
          <w:rFonts w:ascii="Times New Roman" w:eastAsia="Times New Roman" w:hAnsi="Times New Roman"/>
          <w:vanish/>
          <w:sz w:val="24"/>
          <w:szCs w:val="24"/>
          <w:lang w:eastAsia="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1E2401" w:rsidRPr="001E2401" w:rsidTr="001E2401">
        <w:trPr>
          <w:tblCellSpacing w:w="15" w:type="dxa"/>
        </w:trPr>
        <w:tc>
          <w:tcPr>
            <w:tcW w:w="2500" w:type="pct"/>
            <w:shd w:val="clear" w:color="auto" w:fill="FFFFFF"/>
            <w:tcMar>
              <w:top w:w="45" w:type="dxa"/>
              <w:left w:w="45" w:type="dxa"/>
              <w:bottom w:w="45" w:type="dxa"/>
              <w:right w:w="45" w:type="dxa"/>
            </w:tcMa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No</w:t>
            </w:r>
          </w:p>
        </w:tc>
      </w:tr>
      <w:tr w:rsidR="001E2401" w:rsidRPr="001E2401" w:rsidTr="001E2401">
        <w:trPr>
          <w:tblCellSpacing w:w="15" w:type="dxa"/>
        </w:trPr>
        <w:tc>
          <w:tcPr>
            <w:tcW w:w="250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Total value of assets before pension liabilities at the end of the period</w:t>
            </w: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£289970</w:t>
            </w:r>
          </w:p>
        </w:tc>
      </w:tr>
    </w:tbl>
    <w:p w:rsidR="001E2401" w:rsidRPr="001E2401" w:rsidRDefault="001E2401" w:rsidP="001E2401">
      <w:pPr>
        <w:shd w:val="clear" w:color="auto" w:fill="FFFFFF"/>
        <w:spacing w:after="0" w:line="235" w:lineRule="atLeast"/>
        <w:rPr>
          <w:rFonts w:ascii="Verdana" w:eastAsia="Times New Roman" w:hAnsi="Verdana"/>
          <w:b/>
          <w:bCs/>
          <w:color w:val="009966"/>
          <w:sz w:val="18"/>
          <w:szCs w:val="18"/>
          <w:lang w:eastAsia="en-GB"/>
        </w:rPr>
      </w:pPr>
      <w:r w:rsidRPr="001E2401">
        <w:rPr>
          <w:rFonts w:ascii="Verdana" w:eastAsia="Times New Roman" w:hAnsi="Verdana"/>
          <w:b/>
          <w:bCs/>
          <w:color w:val="009966"/>
          <w:sz w:val="18"/>
          <w:szCs w:val="18"/>
          <w:lang w:eastAsia="en-GB"/>
        </w:rPr>
        <w:t>Receipts and Payments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1E2401" w:rsidRPr="001E2401" w:rsidTr="001E2401">
        <w:trPr>
          <w:tblCellSpacing w:w="15" w:type="dxa"/>
        </w:trPr>
        <w:tc>
          <w:tcPr>
            <w:tcW w:w="250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Total amount of the pension contributions received</w:t>
            </w:r>
          </w:p>
        </w:tc>
        <w:tc>
          <w:tcPr>
            <w:tcW w:w="25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£0</w:t>
            </w:r>
          </w:p>
        </w:tc>
      </w:tr>
      <w:tr w:rsidR="001E2401" w:rsidRPr="001E2401" w:rsidTr="001E2401">
        <w:trPr>
          <w:tblCellSpacing w:w="15" w:type="dxa"/>
        </w:trPr>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Total amount of transfer-in payments</w:t>
            </w: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£288877</w:t>
            </w:r>
          </w:p>
        </w:tc>
      </w:tr>
      <w:tr w:rsidR="001E2401" w:rsidRPr="001E2401" w:rsidTr="001E2401">
        <w:trPr>
          <w:tblCellSpacing w:w="15" w:type="dxa"/>
        </w:trPr>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Total amount of transfer-out payments</w:t>
            </w: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£0</w:t>
            </w:r>
          </w:p>
        </w:tc>
      </w:tr>
      <w:tr w:rsidR="001E2401" w:rsidRPr="001E2401" w:rsidTr="001E2401">
        <w:trPr>
          <w:tblCellSpacing w:w="15" w:type="dxa"/>
        </w:trPr>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Total amount paid out in lump sums and lump sum death benefits</w:t>
            </w: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£0</w:t>
            </w:r>
          </w:p>
        </w:tc>
      </w:tr>
      <w:tr w:rsidR="001E2401" w:rsidRPr="001E2401" w:rsidTr="001E2401">
        <w:trPr>
          <w:tblCellSpacing w:w="15" w:type="dxa"/>
        </w:trPr>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Total amount paid out to purchase lifetime annuities and scheme pensions from an insurance company</w:t>
            </w:r>
          </w:p>
        </w:tc>
        <w:tc>
          <w:tcPr>
            <w:tcW w:w="0" w:type="auto"/>
            <w:shd w:val="clear" w:color="auto" w:fill="FFFFFF"/>
            <w:tcMar>
              <w:top w:w="45" w:type="dxa"/>
              <w:left w:w="45" w:type="dxa"/>
              <w:bottom w:w="45" w:type="dxa"/>
              <w:right w:w="45" w:type="dxa"/>
            </w:tcMa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£0</w:t>
            </w:r>
          </w:p>
        </w:tc>
      </w:tr>
      <w:tr w:rsidR="001E2401" w:rsidRPr="001E2401" w:rsidTr="001E2401">
        <w:trPr>
          <w:tblCellSpacing w:w="15" w:type="dxa"/>
        </w:trPr>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Total amount borrowed</w:t>
            </w: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£0</w:t>
            </w:r>
          </w:p>
        </w:tc>
      </w:tr>
    </w:tbl>
    <w:p w:rsidR="001E2401" w:rsidRPr="001E2401" w:rsidRDefault="001E2401" w:rsidP="001E2401">
      <w:pPr>
        <w:spacing w:after="0" w:line="240" w:lineRule="auto"/>
        <w:rPr>
          <w:rFonts w:ascii="Times New Roman" w:eastAsia="Times New Roman" w:hAnsi="Times New Roman"/>
          <w:vanish/>
          <w:sz w:val="24"/>
          <w:szCs w:val="24"/>
          <w:lang w:eastAsia="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1E2401" w:rsidRPr="001E2401" w:rsidTr="001E2401">
        <w:trPr>
          <w:tblCellSpacing w:w="15" w:type="dxa"/>
        </w:trPr>
        <w:tc>
          <w:tcPr>
            <w:tcW w:w="2500" w:type="pct"/>
            <w:shd w:val="clear" w:color="auto" w:fill="FFFFFF"/>
            <w:tcMar>
              <w:top w:w="45" w:type="dxa"/>
              <w:left w:w="45" w:type="dxa"/>
              <w:bottom w:w="45" w:type="dxa"/>
              <w:right w:w="45" w:type="dxa"/>
            </w:tcMa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Other</w:t>
            </w:r>
          </w:p>
        </w:tc>
        <w:tc>
          <w:tcPr>
            <w:tcW w:w="25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capital loan repayments</w:t>
            </w:r>
          </w:p>
        </w:tc>
      </w:tr>
      <w:tr w:rsidR="001E2401" w:rsidRPr="001E2401" w:rsidTr="001E2401">
        <w:trPr>
          <w:tblCellSpacing w:w="15" w:type="dxa"/>
        </w:trPr>
        <w:tc>
          <w:tcPr>
            <w:tcW w:w="250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Other amount</w:t>
            </w: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£6947</w:t>
            </w:r>
          </w:p>
        </w:tc>
      </w:tr>
    </w:tbl>
    <w:p w:rsidR="001E2401" w:rsidRPr="001E2401" w:rsidRDefault="001E2401" w:rsidP="001E2401">
      <w:pPr>
        <w:spacing w:after="0" w:line="240" w:lineRule="auto"/>
        <w:rPr>
          <w:rFonts w:ascii="Times New Roman" w:eastAsia="Times New Roman" w:hAnsi="Times New Roman"/>
          <w:sz w:val="24"/>
          <w:szCs w:val="24"/>
          <w:lang w:eastAsia="en-GB"/>
        </w:rPr>
      </w:pPr>
    </w:p>
    <w:p w:rsidR="001E2401" w:rsidRPr="001E2401" w:rsidRDefault="001E2401" w:rsidP="001E2401">
      <w:pPr>
        <w:shd w:val="clear" w:color="auto" w:fill="FFFFFF"/>
        <w:spacing w:after="0" w:line="235" w:lineRule="atLeast"/>
        <w:rPr>
          <w:rFonts w:ascii="Verdana" w:eastAsia="Times New Roman" w:hAnsi="Verdana"/>
          <w:b/>
          <w:bCs/>
          <w:color w:val="009966"/>
          <w:sz w:val="18"/>
          <w:szCs w:val="18"/>
          <w:lang w:eastAsia="en-GB"/>
        </w:rPr>
      </w:pPr>
      <w:r w:rsidRPr="001E2401">
        <w:rPr>
          <w:rFonts w:ascii="Verdana" w:eastAsia="Times New Roman" w:hAnsi="Verdana"/>
          <w:b/>
          <w:bCs/>
          <w:color w:val="009966"/>
          <w:sz w:val="18"/>
          <w:szCs w:val="18"/>
          <w:lang w:eastAsia="en-GB"/>
        </w:rPr>
        <w:t>Connected Parties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1E2401" w:rsidRPr="001E2401" w:rsidTr="001E2401">
        <w:trPr>
          <w:tblCellSpacing w:w="15" w:type="dxa"/>
        </w:trPr>
        <w:tc>
          <w:tcPr>
            <w:tcW w:w="250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At any time during the period from 06/04/2011 to 05/04/2012 did the scheme either directly or indirectly own assets that it had acquired from either:</w:t>
            </w:r>
            <w:r w:rsidRPr="001E2401">
              <w:rPr>
                <w:rFonts w:ascii="Verdana" w:eastAsia="Times New Roman" w:hAnsi="Verdana"/>
                <w:sz w:val="17"/>
                <w:szCs w:val="17"/>
                <w:lang w:eastAsia="en-GB"/>
              </w:rPr>
              <w:br/>
              <w:t>a. a sponsoring employer or any person connected with that employer?</w:t>
            </w:r>
            <w:r w:rsidRPr="001E2401">
              <w:rPr>
                <w:rFonts w:ascii="Verdana" w:eastAsia="Times New Roman" w:hAnsi="Verdana"/>
                <w:sz w:val="17"/>
                <w:szCs w:val="17"/>
                <w:lang w:eastAsia="en-GB"/>
              </w:rPr>
              <w:br/>
            </w:r>
            <w:proofErr w:type="gramStart"/>
            <w:r w:rsidRPr="001E2401">
              <w:rPr>
                <w:rFonts w:ascii="Verdana" w:eastAsia="Times New Roman" w:hAnsi="Verdana"/>
                <w:i/>
                <w:iCs/>
                <w:sz w:val="17"/>
                <w:szCs w:val="17"/>
                <w:lang w:eastAsia="en-GB"/>
              </w:rPr>
              <w:t>or</w:t>
            </w:r>
            <w:proofErr w:type="gramEnd"/>
            <w:r w:rsidRPr="001E2401">
              <w:rPr>
                <w:rFonts w:ascii="Verdana" w:eastAsia="Times New Roman" w:hAnsi="Verdana"/>
                <w:sz w:val="17"/>
                <w:szCs w:val="17"/>
                <w:lang w:eastAsia="en-GB"/>
              </w:rPr>
              <w:br/>
              <w:t>b. a person who was a director of or a person connected to a director of a close company that was also a sponsoring employer?</w:t>
            </w:r>
            <w:r w:rsidRPr="001E2401">
              <w:rPr>
                <w:rFonts w:ascii="Verdana" w:eastAsia="Times New Roman" w:hAnsi="Verdana"/>
                <w:sz w:val="17"/>
                <w:szCs w:val="17"/>
                <w:lang w:eastAsia="en-GB"/>
              </w:rPr>
              <w:br/>
            </w:r>
            <w:proofErr w:type="gramStart"/>
            <w:r w:rsidRPr="001E2401">
              <w:rPr>
                <w:rFonts w:ascii="Verdana" w:eastAsia="Times New Roman" w:hAnsi="Verdana"/>
                <w:i/>
                <w:iCs/>
                <w:sz w:val="17"/>
                <w:szCs w:val="17"/>
                <w:lang w:eastAsia="en-GB"/>
              </w:rPr>
              <w:t>or</w:t>
            </w:r>
            <w:proofErr w:type="gramEnd"/>
            <w:r w:rsidRPr="001E2401">
              <w:rPr>
                <w:rFonts w:ascii="Verdana" w:eastAsia="Times New Roman" w:hAnsi="Verdana"/>
                <w:sz w:val="17"/>
                <w:szCs w:val="17"/>
                <w:lang w:eastAsia="en-GB"/>
              </w:rPr>
              <w:br/>
              <w:t>c. a person who was either a sole owner or partner or a person connected with the sole owner or partner of a business which was a sponsoring employer?</w:t>
            </w:r>
            <w:r w:rsidRPr="001E2401">
              <w:rPr>
                <w:rFonts w:ascii="Verdana" w:eastAsia="Times New Roman" w:hAnsi="Verdana"/>
                <w:sz w:val="17"/>
                <w:szCs w:val="17"/>
                <w:lang w:eastAsia="en-GB"/>
              </w:rPr>
              <w:br/>
            </w:r>
            <w:proofErr w:type="gramStart"/>
            <w:r w:rsidRPr="001E2401">
              <w:rPr>
                <w:rFonts w:ascii="Verdana" w:eastAsia="Times New Roman" w:hAnsi="Verdana"/>
                <w:i/>
                <w:iCs/>
                <w:sz w:val="17"/>
                <w:szCs w:val="17"/>
                <w:lang w:eastAsia="en-GB"/>
              </w:rPr>
              <w:t>or</w:t>
            </w:r>
            <w:proofErr w:type="gramEnd"/>
            <w:r w:rsidRPr="001E2401">
              <w:rPr>
                <w:rFonts w:ascii="Verdana" w:eastAsia="Times New Roman" w:hAnsi="Verdana"/>
                <w:sz w:val="17"/>
                <w:szCs w:val="17"/>
                <w:lang w:eastAsia="en-GB"/>
              </w:rPr>
              <w:br/>
              <w:t>d. a member or person connected with a member?</w:t>
            </w:r>
          </w:p>
        </w:tc>
        <w:tc>
          <w:tcPr>
            <w:tcW w:w="250" w:type="pct"/>
            <w:shd w:val="clear" w:color="auto" w:fill="FFFFFF"/>
            <w:tcMar>
              <w:top w:w="45" w:type="dxa"/>
              <w:left w:w="45" w:type="dxa"/>
              <w:bottom w:w="45" w:type="dxa"/>
              <w:right w:w="45" w:type="dxa"/>
            </w:tcMa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Yes</w:t>
            </w:r>
          </w:p>
        </w:tc>
      </w:tr>
    </w:tbl>
    <w:p w:rsidR="001E2401" w:rsidRPr="001E2401" w:rsidRDefault="001E2401" w:rsidP="001E2401">
      <w:pPr>
        <w:spacing w:after="0" w:line="240" w:lineRule="auto"/>
        <w:rPr>
          <w:rFonts w:ascii="Times New Roman" w:eastAsia="Times New Roman" w:hAnsi="Times New Roman"/>
          <w:sz w:val="24"/>
          <w:szCs w:val="24"/>
          <w:lang w:eastAsia="en-GB"/>
        </w:rPr>
      </w:pPr>
    </w:p>
    <w:p w:rsidR="001E2401" w:rsidRPr="001E2401" w:rsidRDefault="001E2401" w:rsidP="001E2401">
      <w:pPr>
        <w:shd w:val="clear" w:color="auto" w:fill="FFFFFF"/>
        <w:spacing w:after="0" w:line="235" w:lineRule="atLeast"/>
        <w:rPr>
          <w:rFonts w:ascii="Verdana" w:eastAsia="Times New Roman" w:hAnsi="Verdana"/>
          <w:b/>
          <w:bCs/>
          <w:color w:val="009966"/>
          <w:sz w:val="18"/>
          <w:szCs w:val="18"/>
          <w:lang w:eastAsia="en-GB"/>
        </w:rPr>
      </w:pPr>
      <w:r w:rsidRPr="001E2401">
        <w:rPr>
          <w:rFonts w:ascii="Verdana" w:eastAsia="Times New Roman" w:hAnsi="Verdana"/>
          <w:b/>
          <w:bCs/>
          <w:color w:val="009966"/>
          <w:sz w:val="18"/>
          <w:szCs w:val="18"/>
          <w:lang w:eastAsia="en-GB"/>
        </w:rPr>
        <w:t>Outstanding Loans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1E2401" w:rsidRPr="001E2401" w:rsidTr="001E2401">
        <w:trPr>
          <w:tblCellSpacing w:w="15" w:type="dxa"/>
        </w:trPr>
        <w:tc>
          <w:tcPr>
            <w:tcW w:w="250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Total amount outstanding at the end of the period</w:t>
            </w:r>
          </w:p>
        </w:tc>
        <w:tc>
          <w:tcPr>
            <w:tcW w:w="25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£137053</w:t>
            </w:r>
          </w:p>
        </w:tc>
      </w:tr>
      <w:tr w:rsidR="001E2401" w:rsidRPr="001E2401" w:rsidTr="001E2401">
        <w:trPr>
          <w:tblCellSpacing w:w="15" w:type="dxa"/>
        </w:trPr>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Total amount of any loans made</w:t>
            </w: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£144000</w:t>
            </w:r>
          </w:p>
        </w:tc>
      </w:tr>
      <w:tr w:rsidR="001E2401" w:rsidRPr="001E2401" w:rsidTr="001E2401">
        <w:trPr>
          <w:tblCellSpacing w:w="15" w:type="dxa"/>
        </w:trPr>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Total amount of any loans repaid</w:t>
            </w: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£6947</w:t>
            </w:r>
          </w:p>
        </w:tc>
      </w:tr>
      <w:tr w:rsidR="001E2401" w:rsidRPr="001E2401" w:rsidTr="001E2401">
        <w:trPr>
          <w:tblCellSpacing w:w="15" w:type="dxa"/>
        </w:trPr>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Total amount of interest received</w:t>
            </w: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£531</w:t>
            </w:r>
          </w:p>
        </w:tc>
      </w:tr>
    </w:tbl>
    <w:p w:rsidR="001E2401" w:rsidRPr="001E2401" w:rsidRDefault="001E2401" w:rsidP="001E2401">
      <w:pPr>
        <w:spacing w:after="0" w:line="240" w:lineRule="auto"/>
        <w:rPr>
          <w:rFonts w:ascii="Times New Roman" w:eastAsia="Times New Roman" w:hAnsi="Times New Roman"/>
          <w:sz w:val="24"/>
          <w:szCs w:val="24"/>
          <w:lang w:eastAsia="en-GB"/>
        </w:rPr>
      </w:pPr>
    </w:p>
    <w:p w:rsidR="001E2401" w:rsidRPr="001E2401" w:rsidRDefault="001E2401" w:rsidP="001E2401">
      <w:pPr>
        <w:shd w:val="clear" w:color="auto" w:fill="FFFFFF"/>
        <w:spacing w:after="0" w:line="235" w:lineRule="atLeast"/>
        <w:rPr>
          <w:rFonts w:ascii="Verdana" w:eastAsia="Times New Roman" w:hAnsi="Verdana"/>
          <w:b/>
          <w:bCs/>
          <w:color w:val="009966"/>
          <w:sz w:val="18"/>
          <w:szCs w:val="18"/>
          <w:lang w:eastAsia="en-GB"/>
        </w:rPr>
      </w:pPr>
      <w:r w:rsidRPr="001E2401">
        <w:rPr>
          <w:rFonts w:ascii="Verdana" w:eastAsia="Times New Roman" w:hAnsi="Verdana"/>
          <w:b/>
          <w:bCs/>
          <w:color w:val="009966"/>
          <w:sz w:val="18"/>
          <w:szCs w:val="18"/>
          <w:lang w:eastAsia="en-GB"/>
        </w:rPr>
        <w:t>Cash and Bank Information</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1E2401" w:rsidRPr="001E2401" w:rsidTr="001E2401">
        <w:trPr>
          <w:tblCellSpacing w:w="15" w:type="dxa"/>
        </w:trPr>
        <w:tc>
          <w:tcPr>
            <w:tcW w:w="250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£0</w:t>
            </w:r>
          </w:p>
        </w:tc>
      </w:tr>
      <w:tr w:rsidR="001E2401" w:rsidRPr="001E2401" w:rsidTr="001E2401">
        <w:trPr>
          <w:tblCellSpacing w:w="15" w:type="dxa"/>
        </w:trPr>
        <w:tc>
          <w:tcPr>
            <w:tcW w:w="250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£70917</w:t>
            </w:r>
          </w:p>
        </w:tc>
      </w:tr>
      <w:tr w:rsidR="001E2401" w:rsidRPr="001E2401" w:rsidTr="001E2401">
        <w:trPr>
          <w:tblCellSpacing w:w="15" w:type="dxa"/>
        </w:trPr>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Total amount of interest credited to these accounts</w:t>
            </w: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£562</w:t>
            </w:r>
          </w:p>
        </w:tc>
      </w:tr>
    </w:tbl>
    <w:p w:rsidR="001E2401" w:rsidRPr="001E2401" w:rsidRDefault="001E2401" w:rsidP="001E2401">
      <w:pPr>
        <w:spacing w:after="0" w:line="240" w:lineRule="auto"/>
        <w:rPr>
          <w:rFonts w:ascii="Times New Roman" w:eastAsia="Times New Roman" w:hAnsi="Times New Roman"/>
          <w:sz w:val="24"/>
          <w:szCs w:val="24"/>
          <w:lang w:eastAsia="en-GB"/>
        </w:rPr>
      </w:pPr>
    </w:p>
    <w:p w:rsidR="001E2401" w:rsidRPr="001E2401" w:rsidRDefault="001E2401" w:rsidP="001E2401">
      <w:pPr>
        <w:shd w:val="clear" w:color="auto" w:fill="FFFFFF"/>
        <w:spacing w:after="0" w:line="235" w:lineRule="atLeast"/>
        <w:rPr>
          <w:rFonts w:ascii="Verdana" w:eastAsia="Times New Roman" w:hAnsi="Verdana"/>
          <w:b/>
          <w:bCs/>
          <w:color w:val="009966"/>
          <w:sz w:val="18"/>
          <w:szCs w:val="18"/>
          <w:lang w:eastAsia="en-GB"/>
        </w:rPr>
      </w:pPr>
      <w:proofErr w:type="spellStart"/>
      <w:r w:rsidRPr="001E2401">
        <w:rPr>
          <w:rFonts w:ascii="Verdana" w:eastAsia="Times New Roman" w:hAnsi="Verdana"/>
          <w:b/>
          <w:bCs/>
          <w:color w:val="009966"/>
          <w:sz w:val="18"/>
          <w:szCs w:val="18"/>
          <w:lang w:eastAsia="en-GB"/>
        </w:rPr>
        <w:t>Arms Length</w:t>
      </w:r>
      <w:proofErr w:type="spellEnd"/>
      <w:r w:rsidRPr="001E2401">
        <w:rPr>
          <w:rFonts w:ascii="Verdana" w:eastAsia="Times New Roman" w:hAnsi="Verdana"/>
          <w:b/>
          <w:bCs/>
          <w:color w:val="009966"/>
          <w:sz w:val="18"/>
          <w:szCs w:val="18"/>
          <w:lang w:eastAsia="en-GB"/>
        </w:rPr>
        <w:t xml:space="preserve"> Transactions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1E2401" w:rsidRPr="001E2401" w:rsidTr="001E2401">
        <w:trPr>
          <w:tblCellSpacing w:w="15" w:type="dxa"/>
        </w:trPr>
        <w:tc>
          <w:tcPr>
            <w:tcW w:w="250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Total cost or market value of any assets owned at the end of the period</w:t>
            </w:r>
            <w:r w:rsidRPr="001E2401">
              <w:rPr>
                <w:rFonts w:ascii="Verdana" w:eastAsia="Times New Roman" w:hAnsi="Verdana"/>
                <w:sz w:val="17"/>
                <w:szCs w:val="17"/>
                <w:lang w:eastAsia="en-GB"/>
              </w:rPr>
              <w:br/>
              <w:t>Specify whether this amount is</w:t>
            </w:r>
          </w:p>
        </w:tc>
        <w:tc>
          <w:tcPr>
            <w:tcW w:w="25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£82000</w:t>
            </w:r>
            <w:r w:rsidRPr="001E2401">
              <w:rPr>
                <w:rFonts w:ascii="Verdana" w:eastAsia="Times New Roman" w:hAnsi="Verdana"/>
                <w:sz w:val="17"/>
                <w:szCs w:val="17"/>
                <w:lang w:eastAsia="en-GB"/>
              </w:rPr>
              <w:br/>
            </w:r>
            <w:r w:rsidRPr="001E2401">
              <w:rPr>
                <w:rFonts w:ascii="Verdana" w:eastAsia="Times New Roman" w:hAnsi="Verdana"/>
                <w:sz w:val="17"/>
                <w:szCs w:val="17"/>
                <w:lang w:eastAsia="en-GB"/>
              </w:rPr>
              <w:br/>
              <w:t>Cost</w:t>
            </w:r>
          </w:p>
        </w:tc>
      </w:tr>
    </w:tbl>
    <w:p w:rsidR="001E2401" w:rsidRPr="001E2401" w:rsidRDefault="001E2401" w:rsidP="001E2401">
      <w:pPr>
        <w:spacing w:after="0" w:line="240" w:lineRule="auto"/>
        <w:rPr>
          <w:rFonts w:ascii="Times New Roman" w:eastAsia="Times New Roman" w:hAnsi="Times New Roman"/>
          <w:vanish/>
          <w:sz w:val="24"/>
          <w:szCs w:val="24"/>
          <w:lang w:eastAsia="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1E2401" w:rsidRPr="001E2401" w:rsidTr="001E2401">
        <w:trPr>
          <w:tblCellSpacing w:w="15" w:type="dxa"/>
        </w:trPr>
        <w:tc>
          <w:tcPr>
            <w:tcW w:w="2500" w:type="pct"/>
            <w:shd w:val="clear" w:color="auto" w:fill="FFFFFF"/>
            <w:tcMar>
              <w:top w:w="45" w:type="dxa"/>
              <w:left w:w="45" w:type="dxa"/>
              <w:bottom w:w="45" w:type="dxa"/>
              <w:right w:w="45" w:type="dxa"/>
            </w:tcMa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Nature of asset(s) acquired</w:t>
            </w:r>
          </w:p>
        </w:tc>
        <w:tc>
          <w:tcPr>
            <w:tcW w:w="25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Quoted shares</w:t>
            </w:r>
            <w:r w:rsidRPr="001E2401">
              <w:rPr>
                <w:rFonts w:ascii="Verdana" w:eastAsia="Times New Roman" w:hAnsi="Verdana"/>
                <w:sz w:val="17"/>
                <w:szCs w:val="17"/>
                <w:lang w:eastAsia="en-GB"/>
              </w:rPr>
              <w:br/>
              <w:t>investment bond</w:t>
            </w:r>
          </w:p>
        </w:tc>
      </w:tr>
      <w:tr w:rsidR="001E2401" w:rsidRPr="001E2401" w:rsidTr="001E2401">
        <w:trPr>
          <w:tblCellSpacing w:w="15" w:type="dxa"/>
        </w:trPr>
        <w:tc>
          <w:tcPr>
            <w:tcW w:w="250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Total cost of any assets acquired</w:t>
            </w: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£82000</w:t>
            </w:r>
          </w:p>
        </w:tc>
      </w:tr>
    </w:tbl>
    <w:p w:rsidR="001E2401" w:rsidRPr="001E2401" w:rsidRDefault="001E2401" w:rsidP="001E2401">
      <w:pPr>
        <w:spacing w:after="0" w:line="240" w:lineRule="auto"/>
        <w:rPr>
          <w:rFonts w:ascii="Times New Roman" w:eastAsia="Times New Roman" w:hAnsi="Times New Roman"/>
          <w:vanish/>
          <w:sz w:val="24"/>
          <w:szCs w:val="24"/>
          <w:lang w:eastAsia="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1E2401" w:rsidRPr="001E2401" w:rsidTr="001E2401">
        <w:trPr>
          <w:tblCellSpacing w:w="15" w:type="dxa"/>
        </w:trPr>
        <w:tc>
          <w:tcPr>
            <w:tcW w:w="250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Total amount of income from assets received</w:t>
            </w:r>
          </w:p>
        </w:tc>
        <w:tc>
          <w:tcPr>
            <w:tcW w:w="250" w:type="pct"/>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p>
        </w:tc>
        <w:tc>
          <w:tcPr>
            <w:tcW w:w="0" w:type="auto"/>
            <w:shd w:val="clear" w:color="auto" w:fill="FFFFFF"/>
            <w:tcMar>
              <w:top w:w="45" w:type="dxa"/>
              <w:left w:w="45" w:type="dxa"/>
              <w:bottom w:w="45" w:type="dxa"/>
              <w:right w:w="45" w:type="dxa"/>
            </w:tcMar>
            <w:vAlign w:val="center"/>
            <w:hideMark/>
          </w:tcPr>
          <w:p w:rsidR="001E2401" w:rsidRPr="001E2401" w:rsidRDefault="001E2401" w:rsidP="001E2401">
            <w:pPr>
              <w:spacing w:after="0" w:line="240" w:lineRule="auto"/>
              <w:rPr>
                <w:rFonts w:ascii="Verdana" w:eastAsia="Times New Roman" w:hAnsi="Verdana"/>
                <w:sz w:val="17"/>
                <w:szCs w:val="17"/>
                <w:lang w:eastAsia="en-GB"/>
              </w:rPr>
            </w:pPr>
            <w:r w:rsidRPr="001E2401">
              <w:rPr>
                <w:rFonts w:ascii="Verdana" w:eastAsia="Times New Roman" w:hAnsi="Verdana"/>
                <w:sz w:val="17"/>
                <w:szCs w:val="17"/>
                <w:lang w:eastAsia="en-GB"/>
              </w:rPr>
              <w:t>£0</w:t>
            </w:r>
          </w:p>
        </w:tc>
      </w:tr>
    </w:tbl>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2725C2" w:rsidRDefault="002725C2" w:rsidP="0086260D">
      <w:pPr>
        <w:spacing w:after="0" w:line="240" w:lineRule="auto"/>
        <w:rPr>
          <w:rFonts w:ascii="Times New Roman" w:eastAsia="Times New Roman" w:hAnsi="Times New Roman"/>
          <w:sz w:val="24"/>
          <w:szCs w:val="24"/>
          <w:lang w:eastAsia="en-GB"/>
        </w:rPr>
      </w:pPr>
    </w:p>
    <w:p w:rsidR="001E2401" w:rsidRDefault="001E2401" w:rsidP="0086260D">
      <w:pPr>
        <w:spacing w:after="0" w:line="240" w:lineRule="auto"/>
        <w:rPr>
          <w:rFonts w:ascii="Times New Roman" w:eastAsia="Times New Roman" w:hAnsi="Times New Roman"/>
          <w:sz w:val="24"/>
          <w:szCs w:val="24"/>
          <w:lang w:eastAsia="en-GB"/>
        </w:rPr>
      </w:pPr>
    </w:p>
    <w:p w:rsidR="001E2401" w:rsidRDefault="001E2401" w:rsidP="0086260D">
      <w:pPr>
        <w:spacing w:after="0" w:line="240" w:lineRule="auto"/>
        <w:rPr>
          <w:rFonts w:ascii="Times New Roman" w:eastAsia="Times New Roman" w:hAnsi="Times New Roman"/>
          <w:sz w:val="24"/>
          <w:szCs w:val="24"/>
          <w:lang w:eastAsia="en-GB"/>
        </w:rPr>
      </w:pPr>
    </w:p>
    <w:p w:rsidR="001E2401" w:rsidRDefault="001E2401" w:rsidP="0086260D">
      <w:pPr>
        <w:spacing w:after="0" w:line="240" w:lineRule="auto"/>
        <w:rPr>
          <w:rFonts w:ascii="Times New Roman" w:eastAsia="Times New Roman" w:hAnsi="Times New Roman"/>
          <w:sz w:val="24"/>
          <w:szCs w:val="24"/>
          <w:lang w:eastAsia="en-GB"/>
        </w:rPr>
      </w:pPr>
    </w:p>
    <w:p w:rsidR="001E2401" w:rsidRDefault="001E2401" w:rsidP="0086260D">
      <w:pPr>
        <w:spacing w:after="0" w:line="240" w:lineRule="auto"/>
        <w:rPr>
          <w:rFonts w:ascii="Times New Roman" w:eastAsia="Times New Roman" w:hAnsi="Times New Roman"/>
          <w:sz w:val="24"/>
          <w:szCs w:val="24"/>
          <w:lang w:eastAsia="en-GB"/>
        </w:rPr>
      </w:pPr>
    </w:p>
    <w:p w:rsidR="001E2401" w:rsidRDefault="001E2401" w:rsidP="0086260D">
      <w:pPr>
        <w:spacing w:after="0" w:line="240" w:lineRule="auto"/>
        <w:rPr>
          <w:rFonts w:ascii="Times New Roman" w:eastAsia="Times New Roman" w:hAnsi="Times New Roman"/>
          <w:sz w:val="24"/>
          <w:szCs w:val="24"/>
          <w:lang w:eastAsia="en-GB"/>
        </w:rPr>
      </w:pPr>
    </w:p>
    <w:p w:rsidR="001E2401" w:rsidRDefault="001E2401" w:rsidP="0086260D">
      <w:pPr>
        <w:spacing w:after="0" w:line="240" w:lineRule="auto"/>
        <w:rPr>
          <w:rFonts w:ascii="Times New Roman" w:eastAsia="Times New Roman" w:hAnsi="Times New Roman"/>
          <w:sz w:val="24"/>
          <w:szCs w:val="24"/>
          <w:lang w:eastAsia="en-GB"/>
        </w:rPr>
      </w:pPr>
    </w:p>
    <w:p w:rsidR="001E2401" w:rsidRDefault="001E2401" w:rsidP="0086260D">
      <w:pPr>
        <w:spacing w:after="0" w:line="240" w:lineRule="auto"/>
        <w:rPr>
          <w:rFonts w:ascii="Times New Roman" w:eastAsia="Times New Roman" w:hAnsi="Times New Roman"/>
          <w:sz w:val="24"/>
          <w:szCs w:val="24"/>
          <w:lang w:eastAsia="en-GB"/>
        </w:rPr>
      </w:pPr>
    </w:p>
    <w:p w:rsidR="001E2401" w:rsidRDefault="001E2401" w:rsidP="0086260D">
      <w:pPr>
        <w:spacing w:after="0" w:line="240" w:lineRule="auto"/>
        <w:rPr>
          <w:rFonts w:ascii="Times New Roman" w:eastAsia="Times New Roman" w:hAnsi="Times New Roman"/>
          <w:sz w:val="24"/>
          <w:szCs w:val="24"/>
          <w:lang w:eastAsia="en-GB"/>
        </w:rPr>
      </w:pPr>
    </w:p>
    <w:p w:rsidR="001E2401" w:rsidRDefault="001E2401" w:rsidP="0086260D">
      <w:pPr>
        <w:spacing w:after="0" w:line="240" w:lineRule="auto"/>
        <w:rPr>
          <w:rFonts w:ascii="Times New Roman" w:eastAsia="Times New Roman" w:hAnsi="Times New Roman"/>
          <w:sz w:val="24"/>
          <w:szCs w:val="24"/>
          <w:lang w:eastAsia="en-GB"/>
        </w:rPr>
      </w:pPr>
    </w:p>
    <w:p w:rsidR="001E2401" w:rsidRDefault="001E2401" w:rsidP="0086260D">
      <w:pPr>
        <w:spacing w:after="0" w:line="240" w:lineRule="auto"/>
        <w:rPr>
          <w:rFonts w:ascii="Times New Roman" w:eastAsia="Times New Roman" w:hAnsi="Times New Roman"/>
          <w:sz w:val="24"/>
          <w:szCs w:val="24"/>
          <w:lang w:eastAsia="en-GB"/>
        </w:rPr>
      </w:pPr>
    </w:p>
    <w:p w:rsidR="001E2401" w:rsidRDefault="001E2401" w:rsidP="0086260D">
      <w:pPr>
        <w:spacing w:after="0" w:line="240" w:lineRule="auto"/>
        <w:rPr>
          <w:rFonts w:ascii="Times New Roman" w:eastAsia="Times New Roman" w:hAnsi="Times New Roman"/>
          <w:sz w:val="24"/>
          <w:szCs w:val="24"/>
          <w:lang w:eastAsia="en-GB"/>
        </w:rPr>
      </w:pPr>
    </w:p>
    <w:p w:rsidR="001E2401" w:rsidRDefault="001E2401" w:rsidP="0086260D">
      <w:pPr>
        <w:spacing w:after="0" w:line="240" w:lineRule="auto"/>
        <w:rPr>
          <w:rFonts w:ascii="Times New Roman" w:eastAsia="Times New Roman" w:hAnsi="Times New Roman"/>
          <w:sz w:val="24"/>
          <w:szCs w:val="24"/>
          <w:lang w:eastAsia="en-GB"/>
        </w:rPr>
      </w:pPr>
    </w:p>
    <w:p w:rsidR="001E2401" w:rsidRDefault="001E2401" w:rsidP="0086260D">
      <w:pPr>
        <w:spacing w:after="0" w:line="240" w:lineRule="auto"/>
        <w:rPr>
          <w:rFonts w:ascii="Times New Roman" w:eastAsia="Times New Roman" w:hAnsi="Times New Roman"/>
          <w:sz w:val="24"/>
          <w:szCs w:val="24"/>
          <w:lang w:eastAsia="en-GB"/>
        </w:rPr>
      </w:pPr>
    </w:p>
    <w:p w:rsidR="001E2401" w:rsidRDefault="001E2401" w:rsidP="0086260D">
      <w:pPr>
        <w:spacing w:after="0" w:line="240" w:lineRule="auto"/>
        <w:rPr>
          <w:rFonts w:ascii="Times New Roman" w:eastAsia="Times New Roman" w:hAnsi="Times New Roman"/>
          <w:sz w:val="24"/>
          <w:szCs w:val="24"/>
          <w:lang w:eastAsia="en-GB"/>
        </w:rPr>
      </w:pPr>
    </w:p>
    <w:p w:rsidR="001E2401" w:rsidRDefault="001E2401" w:rsidP="0086260D">
      <w:pPr>
        <w:spacing w:after="0" w:line="240" w:lineRule="auto"/>
        <w:rPr>
          <w:rFonts w:ascii="Times New Roman" w:eastAsia="Times New Roman" w:hAnsi="Times New Roman"/>
          <w:sz w:val="24"/>
          <w:szCs w:val="24"/>
          <w:lang w:eastAsia="en-GB"/>
        </w:rPr>
      </w:pPr>
    </w:p>
    <w:p w:rsidR="00877765" w:rsidRPr="00490A7B" w:rsidRDefault="00877765" w:rsidP="00877765">
      <w:pPr>
        <w:pStyle w:val="Title"/>
        <w:rPr>
          <w:rFonts w:ascii="Calibri" w:hAnsi="Calibri" w:cs="Calibri"/>
          <w:sz w:val="23"/>
          <w:szCs w:val="23"/>
          <w:lang w:val="en-GB"/>
        </w:rPr>
      </w:pPr>
    </w:p>
    <w:p w:rsidR="00585481" w:rsidRPr="00445D60" w:rsidRDefault="00585481" w:rsidP="004066F6">
      <w:pPr>
        <w:pStyle w:val="Heading2"/>
        <w:numPr>
          <w:ilvl w:val="0"/>
          <w:numId w:val="1"/>
        </w:numPr>
        <w:rPr>
          <w:rStyle w:val="IntenseEmphasis"/>
          <w:rFonts w:ascii="Calibri" w:hAnsi="Calibri" w:cs="Calibri"/>
          <w:i w:val="0"/>
          <w:color w:val="31849B"/>
          <w:spacing w:val="15"/>
          <w:sz w:val="24"/>
          <w:szCs w:val="24"/>
        </w:rPr>
      </w:pPr>
      <w:r w:rsidRPr="00445D60">
        <w:rPr>
          <w:rStyle w:val="IntenseEmphasis"/>
          <w:rFonts w:ascii="Calibri" w:hAnsi="Calibri" w:cs="Calibri"/>
          <w:i w:val="0"/>
          <w:color w:val="31849B"/>
          <w:spacing w:val="15"/>
          <w:sz w:val="24"/>
          <w:szCs w:val="24"/>
        </w:rPr>
        <w:t xml:space="preserve">Inflation Report </w:t>
      </w:r>
      <w:r w:rsidR="00512AFE" w:rsidRPr="00445D60">
        <w:rPr>
          <w:rStyle w:val="IntenseEmphasis"/>
          <w:rFonts w:ascii="Calibri" w:hAnsi="Calibri" w:cs="Calibri"/>
          <w:i w:val="0"/>
          <w:color w:val="31849B"/>
          <w:spacing w:val="15"/>
          <w:sz w:val="24"/>
          <w:szCs w:val="24"/>
        </w:rPr>
        <w:t xml:space="preserve">2012 </w:t>
      </w:r>
      <w:r w:rsidRPr="00445D60">
        <w:rPr>
          <w:rStyle w:val="IntenseEmphasis"/>
          <w:rFonts w:ascii="Calibri" w:hAnsi="Calibri" w:cs="Calibri"/>
          <w:i w:val="0"/>
          <w:color w:val="31849B"/>
          <w:spacing w:val="15"/>
          <w:sz w:val="24"/>
          <w:szCs w:val="24"/>
        </w:rPr>
        <w:t>and 2013 Outlook</w:t>
      </w:r>
    </w:p>
    <w:p w:rsidR="00EB084B" w:rsidRPr="004066F6" w:rsidRDefault="00EB084B" w:rsidP="00893837">
      <w:pPr>
        <w:pStyle w:val="ListParagraph"/>
        <w:ind w:left="0"/>
        <w:jc w:val="both"/>
        <w:rPr>
          <w:rFonts w:cs="Calibri"/>
          <w:sz w:val="23"/>
          <w:szCs w:val="23"/>
        </w:rPr>
      </w:pPr>
    </w:p>
    <w:p w:rsidR="00585481" w:rsidRPr="004066F6" w:rsidRDefault="00585481" w:rsidP="00585481">
      <w:pPr>
        <w:spacing w:after="0" w:line="240" w:lineRule="auto"/>
        <w:rPr>
          <w:rFonts w:cs="Calibri"/>
          <w:sz w:val="23"/>
          <w:szCs w:val="23"/>
        </w:rPr>
      </w:pPr>
      <w:r w:rsidRPr="004066F6">
        <w:rPr>
          <w:rFonts w:cs="Calibri"/>
          <w:sz w:val="23"/>
          <w:szCs w:val="23"/>
        </w:rPr>
        <w:t xml:space="preserve">It is important to consider the effects of inflation on pension funds to ascertain any real growth in </w:t>
      </w:r>
      <w:r w:rsidR="0077704C" w:rsidRPr="004066F6">
        <w:rPr>
          <w:rFonts w:cs="Calibri"/>
          <w:sz w:val="23"/>
          <w:szCs w:val="23"/>
        </w:rPr>
        <w:t>a</w:t>
      </w:r>
      <w:r w:rsidRPr="004066F6">
        <w:rPr>
          <w:rFonts w:cs="Calibri"/>
          <w:sz w:val="23"/>
          <w:szCs w:val="23"/>
        </w:rPr>
        <w:t xml:space="preserve"> pension scheme. Simply put, if your pension fund return over the tax year exceeds that of inflation your fund has grown in real terms and has maintained purchasing power. </w:t>
      </w:r>
    </w:p>
    <w:p w:rsidR="00585481" w:rsidRPr="004066F6" w:rsidRDefault="00585481" w:rsidP="00585481">
      <w:pPr>
        <w:spacing w:after="0" w:line="240" w:lineRule="auto"/>
        <w:rPr>
          <w:rFonts w:cs="Calibri"/>
          <w:sz w:val="23"/>
          <w:szCs w:val="23"/>
        </w:rPr>
      </w:pPr>
    </w:p>
    <w:p w:rsidR="00585481" w:rsidRPr="004066F6" w:rsidRDefault="00585481" w:rsidP="00585481">
      <w:pPr>
        <w:spacing w:after="0" w:line="240" w:lineRule="auto"/>
        <w:rPr>
          <w:rFonts w:eastAsia="Times New Roman" w:cs="Calibri"/>
          <w:sz w:val="23"/>
          <w:szCs w:val="23"/>
          <w:lang w:val="en-US" w:eastAsia="en-GB"/>
        </w:rPr>
      </w:pPr>
      <w:r w:rsidRPr="004066F6">
        <w:rPr>
          <w:rFonts w:cs="Calibri"/>
          <w:sz w:val="23"/>
          <w:szCs w:val="23"/>
        </w:rPr>
        <w:t>CPI and RPI measure change in the prices charged for goods and services bought for consumption in the UK. Prices are recorded monthly for a typical selection of products (referred to as the ‘basket of goods’), using a large sample of shops and other outlets.</w:t>
      </w:r>
    </w:p>
    <w:p w:rsidR="00585481" w:rsidRPr="004066F6" w:rsidRDefault="00585481" w:rsidP="00585481">
      <w:pPr>
        <w:spacing w:after="0" w:line="240" w:lineRule="auto"/>
        <w:rPr>
          <w:rFonts w:cs="Calibri"/>
          <w:sz w:val="23"/>
          <w:szCs w:val="23"/>
        </w:rPr>
      </w:pPr>
    </w:p>
    <w:p w:rsidR="00585481" w:rsidRPr="004066F6" w:rsidRDefault="00585481" w:rsidP="00585481">
      <w:pPr>
        <w:spacing w:after="0" w:line="240" w:lineRule="auto"/>
        <w:rPr>
          <w:rFonts w:eastAsia="Times New Roman" w:cs="Calibri"/>
          <w:sz w:val="23"/>
          <w:szCs w:val="23"/>
          <w:lang w:val="en-US" w:eastAsia="en-GB"/>
        </w:rPr>
      </w:pPr>
      <w:r w:rsidRPr="004066F6">
        <w:rPr>
          <w:rFonts w:cs="Calibri"/>
          <w:sz w:val="23"/>
          <w:szCs w:val="23"/>
        </w:rPr>
        <w:t xml:space="preserve">From April 2011 the Government has transferred pension increases to the Consumer Price Index (CPI) measure which in the Treasury's own words "...is designed to take account of the fact that consumers tend to shop around, switching to cheaper alternatives when prices of similar goods change." However in doing so </w:t>
      </w:r>
      <w:proofErr w:type="gramStart"/>
      <w:r w:rsidRPr="004066F6">
        <w:rPr>
          <w:rFonts w:cs="Calibri"/>
          <w:sz w:val="23"/>
          <w:szCs w:val="23"/>
        </w:rPr>
        <w:t>pensioners</w:t>
      </w:r>
      <w:proofErr w:type="gramEnd"/>
      <w:r w:rsidRPr="004066F6">
        <w:rPr>
          <w:rFonts w:cs="Calibri"/>
          <w:sz w:val="23"/>
          <w:szCs w:val="23"/>
        </w:rPr>
        <w:t xml:space="preserve"> purchasing power diminishes as on average, you might expect CPI inflation to be roughly 0.5% to 0.75% a year below RPI inflation although the gap has widened in the past few years. </w:t>
      </w:r>
    </w:p>
    <w:p w:rsidR="00585481" w:rsidRPr="004066F6" w:rsidRDefault="00585481" w:rsidP="00585481">
      <w:pPr>
        <w:spacing w:after="0" w:line="240" w:lineRule="auto"/>
        <w:rPr>
          <w:rFonts w:eastAsia="Times New Roman" w:cs="Calibri"/>
          <w:sz w:val="23"/>
          <w:szCs w:val="23"/>
          <w:lang w:val="en-US" w:eastAsia="en-GB"/>
        </w:rPr>
      </w:pPr>
    </w:p>
    <w:p w:rsidR="00585481" w:rsidRPr="004066F6" w:rsidRDefault="00585481" w:rsidP="00585481">
      <w:pPr>
        <w:spacing w:after="0" w:line="240" w:lineRule="auto"/>
        <w:rPr>
          <w:rFonts w:eastAsia="Times New Roman" w:cs="Calibri"/>
          <w:sz w:val="23"/>
          <w:szCs w:val="23"/>
          <w:lang w:val="en-US" w:eastAsia="en-GB"/>
        </w:rPr>
      </w:pPr>
      <w:r w:rsidRPr="004066F6">
        <w:rPr>
          <w:rFonts w:eastAsia="Times New Roman" w:cs="Calibri"/>
          <w:sz w:val="23"/>
          <w:szCs w:val="23"/>
          <w:lang w:val="en-US" w:eastAsia="en-GB"/>
        </w:rPr>
        <w:t xml:space="preserve">CPI inflation stood at 3.5% in March 2012, down from a peak of 5.2% in September 2011.  That fall reflected the effects of earlier increases in energy prices and VAT dropping out of the twelve-month inflation rate.  </w:t>
      </w:r>
    </w:p>
    <w:p w:rsidR="00512AFE" w:rsidRDefault="00512AFE" w:rsidP="00585481">
      <w:pPr>
        <w:spacing w:after="0" w:line="240" w:lineRule="auto"/>
        <w:rPr>
          <w:rFonts w:eastAsia="Times New Roman" w:cs="Calibri"/>
          <w:sz w:val="23"/>
          <w:szCs w:val="23"/>
          <w:lang w:val="en-US" w:eastAsia="en-GB"/>
        </w:rPr>
      </w:pPr>
    </w:p>
    <w:p w:rsidR="00DC2795" w:rsidRDefault="00DC2795" w:rsidP="00585481">
      <w:pPr>
        <w:spacing w:after="0" w:line="240" w:lineRule="auto"/>
        <w:rPr>
          <w:rFonts w:eastAsia="Times New Roman" w:cs="Calibri"/>
          <w:sz w:val="23"/>
          <w:szCs w:val="23"/>
          <w:lang w:val="en-US" w:eastAsia="en-GB"/>
        </w:rPr>
      </w:pPr>
    </w:p>
    <w:p w:rsidR="00DC2795" w:rsidRPr="004066F6" w:rsidRDefault="00DC2795" w:rsidP="00585481">
      <w:pPr>
        <w:spacing w:after="0" w:line="240" w:lineRule="auto"/>
        <w:rPr>
          <w:rFonts w:eastAsia="Times New Roman" w:cs="Calibri"/>
          <w:sz w:val="23"/>
          <w:szCs w:val="23"/>
          <w:lang w:val="en-US" w:eastAsia="en-GB"/>
        </w:rPr>
      </w:pPr>
    </w:p>
    <w:p w:rsidR="00512AFE" w:rsidRPr="004066F6" w:rsidRDefault="009E3BA2" w:rsidP="00512AFE">
      <w:pPr>
        <w:spacing w:after="0" w:line="240" w:lineRule="auto"/>
        <w:jc w:val="center"/>
        <w:rPr>
          <w:rFonts w:eastAsia="Times New Roman" w:cs="Calibri"/>
          <w:sz w:val="23"/>
          <w:szCs w:val="23"/>
          <w:lang w:val="en-US" w:eastAsia="en-GB"/>
        </w:rPr>
      </w:pPr>
      <w:r>
        <w:rPr>
          <w:rFonts w:cs="Calibri"/>
          <w:noProof/>
          <w:sz w:val="23"/>
          <w:szCs w:val="23"/>
          <w:lang w:eastAsia="en-GB"/>
        </w:rPr>
        <w:drawing>
          <wp:inline distT="0" distB="0" distL="0" distR="0">
            <wp:extent cx="6146800" cy="2857500"/>
            <wp:effectExtent l="0" t="0" r="6350" b="0"/>
            <wp:docPr id="2" name="Picture 2" descr="United Kingdom Inflation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ed Kingdom Inflation R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6800" cy="2857500"/>
                    </a:xfrm>
                    <a:prstGeom prst="rect">
                      <a:avLst/>
                    </a:prstGeom>
                    <a:noFill/>
                    <a:ln>
                      <a:noFill/>
                    </a:ln>
                  </pic:spPr>
                </pic:pic>
              </a:graphicData>
            </a:graphic>
          </wp:inline>
        </w:drawing>
      </w:r>
    </w:p>
    <w:p w:rsidR="00585481" w:rsidRDefault="00585481" w:rsidP="00585481">
      <w:pPr>
        <w:spacing w:after="0" w:line="240" w:lineRule="auto"/>
        <w:rPr>
          <w:rFonts w:eastAsia="Times New Roman" w:cs="Calibri"/>
          <w:sz w:val="23"/>
          <w:szCs w:val="23"/>
          <w:lang w:val="en-US" w:eastAsia="en-GB"/>
        </w:rPr>
      </w:pPr>
    </w:p>
    <w:p w:rsidR="00D25B8B" w:rsidRPr="004066F6" w:rsidRDefault="00D25B8B" w:rsidP="00585481">
      <w:pPr>
        <w:spacing w:after="0" w:line="240" w:lineRule="auto"/>
        <w:rPr>
          <w:rFonts w:eastAsia="Times New Roman" w:cs="Calibri"/>
          <w:sz w:val="23"/>
          <w:szCs w:val="23"/>
          <w:lang w:val="en-US" w:eastAsia="en-GB"/>
        </w:rPr>
      </w:pPr>
    </w:p>
    <w:p w:rsidR="00512AFE" w:rsidRPr="004066F6" w:rsidRDefault="00512AFE" w:rsidP="00585481">
      <w:pPr>
        <w:spacing w:after="0" w:line="240" w:lineRule="auto"/>
        <w:rPr>
          <w:rFonts w:eastAsia="Times New Roman" w:cs="Calibri"/>
          <w:sz w:val="23"/>
          <w:szCs w:val="23"/>
          <w:lang w:val="en-US" w:eastAsia="en-GB"/>
        </w:rPr>
      </w:pPr>
    </w:p>
    <w:p w:rsidR="00512AFE" w:rsidRPr="004066F6" w:rsidRDefault="00512AFE" w:rsidP="00585481">
      <w:pPr>
        <w:spacing w:after="0" w:line="240" w:lineRule="auto"/>
        <w:rPr>
          <w:rFonts w:eastAsia="Times New Roman" w:cs="Calibri"/>
          <w:sz w:val="23"/>
          <w:szCs w:val="23"/>
          <w:lang w:val="en-US" w:eastAsia="en-GB"/>
        </w:rPr>
      </w:pPr>
    </w:p>
    <w:p w:rsidR="00CB7D56" w:rsidRPr="004066F6" w:rsidRDefault="00CB7D56" w:rsidP="00585481">
      <w:pPr>
        <w:spacing w:after="0" w:line="240" w:lineRule="auto"/>
        <w:rPr>
          <w:rFonts w:eastAsia="Times New Roman" w:cs="Calibri"/>
          <w:sz w:val="23"/>
          <w:szCs w:val="23"/>
          <w:lang w:val="en-US" w:eastAsia="en-GB"/>
        </w:rPr>
      </w:pPr>
    </w:p>
    <w:p w:rsidR="00512AFE" w:rsidRPr="004066F6" w:rsidRDefault="00512AFE" w:rsidP="00585481">
      <w:pPr>
        <w:spacing w:after="0" w:line="240" w:lineRule="auto"/>
        <w:rPr>
          <w:rFonts w:eastAsia="Times New Roman" w:cs="Calibri"/>
          <w:sz w:val="23"/>
          <w:szCs w:val="23"/>
          <w:lang w:val="en-US" w:eastAsia="en-GB"/>
        </w:rPr>
      </w:pPr>
    </w:p>
    <w:p w:rsidR="00512AFE" w:rsidRPr="004066F6" w:rsidRDefault="00512AFE" w:rsidP="00585481">
      <w:pPr>
        <w:spacing w:after="0" w:line="240" w:lineRule="auto"/>
        <w:rPr>
          <w:rFonts w:eastAsia="Times New Roman" w:cs="Calibri"/>
          <w:sz w:val="23"/>
          <w:szCs w:val="23"/>
          <w:lang w:val="en-US" w:eastAsia="en-GB"/>
        </w:rPr>
      </w:pPr>
    </w:p>
    <w:p w:rsidR="00512AFE" w:rsidRPr="004066F6" w:rsidRDefault="00512AFE" w:rsidP="00585481">
      <w:pPr>
        <w:spacing w:after="0" w:line="240" w:lineRule="auto"/>
        <w:rPr>
          <w:rFonts w:eastAsia="Times New Roman" w:cs="Calibri"/>
          <w:sz w:val="23"/>
          <w:szCs w:val="23"/>
          <w:lang w:val="en-US" w:eastAsia="en-GB"/>
        </w:rPr>
      </w:pPr>
    </w:p>
    <w:p w:rsidR="00512AFE" w:rsidRPr="004066F6" w:rsidRDefault="00512AFE" w:rsidP="00585481">
      <w:pPr>
        <w:spacing w:after="0" w:line="240" w:lineRule="auto"/>
        <w:rPr>
          <w:rFonts w:eastAsia="Times New Roman" w:cs="Calibri"/>
          <w:sz w:val="23"/>
          <w:szCs w:val="23"/>
          <w:lang w:val="en-US" w:eastAsia="en-GB"/>
        </w:rPr>
      </w:pPr>
    </w:p>
    <w:p w:rsidR="00512AFE" w:rsidRPr="004066F6" w:rsidRDefault="00512AFE" w:rsidP="00585481">
      <w:pPr>
        <w:spacing w:after="0" w:line="240" w:lineRule="auto"/>
        <w:rPr>
          <w:rFonts w:eastAsia="Times New Roman" w:cs="Calibri"/>
          <w:sz w:val="23"/>
          <w:szCs w:val="23"/>
          <w:lang w:val="en-US" w:eastAsia="en-GB"/>
        </w:rPr>
      </w:pPr>
    </w:p>
    <w:p w:rsidR="00512AFE" w:rsidRPr="004066F6" w:rsidRDefault="00512AFE" w:rsidP="00512AFE">
      <w:pPr>
        <w:spacing w:after="0" w:line="240" w:lineRule="auto"/>
        <w:rPr>
          <w:rFonts w:cs="Calibri"/>
          <w:sz w:val="23"/>
          <w:szCs w:val="23"/>
          <w:lang w:val="en-US"/>
        </w:rPr>
      </w:pPr>
      <w:r w:rsidRPr="004066F6">
        <w:rPr>
          <w:rFonts w:eastAsia="Times New Roman" w:cs="Calibri"/>
          <w:b/>
          <w:sz w:val="23"/>
          <w:szCs w:val="23"/>
          <w:lang w:val="en-US" w:eastAsia="en-GB"/>
        </w:rPr>
        <w:t>Short and long term forecast</w:t>
      </w:r>
      <w:r w:rsidRPr="004066F6">
        <w:rPr>
          <w:rFonts w:eastAsia="Times New Roman" w:cs="Calibri"/>
          <w:b/>
          <w:sz w:val="23"/>
          <w:szCs w:val="23"/>
          <w:lang w:val="en-US" w:eastAsia="en-GB"/>
        </w:rPr>
        <w:br/>
      </w:r>
      <w:r w:rsidRPr="004066F6">
        <w:rPr>
          <w:rFonts w:eastAsia="Times New Roman" w:cs="Calibri"/>
          <w:sz w:val="23"/>
          <w:szCs w:val="23"/>
          <w:lang w:val="en-US" w:eastAsia="en-GB"/>
        </w:rPr>
        <w:br/>
      </w:r>
      <w:proofErr w:type="gramStart"/>
      <w:r w:rsidRPr="004066F6">
        <w:rPr>
          <w:rFonts w:eastAsia="Times New Roman" w:cs="Calibri"/>
          <w:sz w:val="23"/>
          <w:szCs w:val="23"/>
          <w:lang w:val="en-US" w:eastAsia="en-GB"/>
        </w:rPr>
        <w:t>The</w:t>
      </w:r>
      <w:proofErr w:type="gramEnd"/>
      <w:r w:rsidRPr="004066F6">
        <w:rPr>
          <w:rFonts w:eastAsia="Times New Roman" w:cs="Calibri"/>
          <w:sz w:val="23"/>
          <w:szCs w:val="23"/>
          <w:lang w:val="en-US" w:eastAsia="en-GB"/>
        </w:rPr>
        <w:t xml:space="preserve"> near-term outlook is judged to be somewhat </w:t>
      </w:r>
      <w:r w:rsidR="0077704C" w:rsidRPr="004066F6">
        <w:rPr>
          <w:rFonts w:eastAsia="Times New Roman" w:cs="Calibri"/>
          <w:sz w:val="23"/>
          <w:szCs w:val="23"/>
          <w:lang w:val="en-US" w:eastAsia="en-GB"/>
        </w:rPr>
        <w:t>lower</w:t>
      </w:r>
      <w:r w:rsidRPr="004066F6">
        <w:rPr>
          <w:rFonts w:eastAsia="Times New Roman" w:cs="Calibri"/>
          <w:sz w:val="23"/>
          <w:szCs w:val="23"/>
          <w:lang w:val="en-US" w:eastAsia="en-GB"/>
        </w:rPr>
        <w:t xml:space="preserve"> than expected, with inflation now likely to remain above the 2% target for the next year or so.  </w:t>
      </w:r>
      <w:r w:rsidRPr="004066F6">
        <w:rPr>
          <w:rFonts w:cs="Calibri"/>
          <w:sz w:val="23"/>
          <w:szCs w:val="23"/>
          <w:lang w:val="en-US"/>
        </w:rPr>
        <w:t xml:space="preserve">This revision reflects both the impact of energy prices and indirect taxes, and also a judgment that cost pressures from past rises in commodity prices and weak productivity are likely to have a greater impact on inflation in the near term than expected three months ago.  </w:t>
      </w:r>
      <w:r w:rsidR="00F10885">
        <w:rPr>
          <w:rFonts w:cs="Calibri"/>
          <w:sz w:val="23"/>
          <w:szCs w:val="23"/>
          <w:lang w:val="en-US"/>
        </w:rPr>
        <w:t>A</w:t>
      </w:r>
      <w:r w:rsidRPr="004066F6">
        <w:rPr>
          <w:rFonts w:cs="Calibri"/>
          <w:sz w:val="23"/>
          <w:szCs w:val="23"/>
          <w:lang w:val="en-US"/>
        </w:rPr>
        <w:t xml:space="preserve"> gradual easing in the impact of external price pressures and a continuing drag from economic slack should cause inflation to fall back to around the target </w:t>
      </w:r>
      <w:r w:rsidR="0077704C" w:rsidRPr="004066F6">
        <w:rPr>
          <w:rFonts w:cs="Calibri"/>
          <w:sz w:val="23"/>
          <w:szCs w:val="23"/>
          <w:lang w:val="en-US"/>
        </w:rPr>
        <w:t xml:space="preserve">of </w:t>
      </w:r>
      <w:r w:rsidRPr="004066F6">
        <w:rPr>
          <w:rFonts w:cs="Calibri"/>
          <w:sz w:val="23"/>
          <w:szCs w:val="23"/>
          <w:lang w:val="en-US"/>
        </w:rPr>
        <w:t>in the second half of the 2012/13 forecast period.</w:t>
      </w:r>
    </w:p>
    <w:p w:rsidR="00512AFE" w:rsidRPr="004066F6" w:rsidRDefault="00512AFE" w:rsidP="00512AFE">
      <w:pPr>
        <w:spacing w:after="0" w:line="240" w:lineRule="auto"/>
        <w:rPr>
          <w:rFonts w:cs="Calibri"/>
          <w:sz w:val="23"/>
          <w:szCs w:val="23"/>
          <w:lang w:val="en-US"/>
        </w:rPr>
      </w:pPr>
    </w:p>
    <w:p w:rsidR="00512AFE" w:rsidRDefault="00512AFE" w:rsidP="00512AFE">
      <w:pPr>
        <w:spacing w:after="0" w:line="240" w:lineRule="auto"/>
        <w:rPr>
          <w:rFonts w:cs="Calibri"/>
          <w:sz w:val="23"/>
          <w:szCs w:val="23"/>
          <w:lang w:val="en-US"/>
        </w:rPr>
      </w:pPr>
      <w:r w:rsidRPr="004066F6">
        <w:rPr>
          <w:rFonts w:cs="Calibri"/>
          <w:sz w:val="23"/>
          <w:szCs w:val="23"/>
          <w:lang w:val="en-US"/>
        </w:rPr>
        <w:t>You will see from the graph below that the forecast for inflation for the year ahead has the greatest probability in the 2% range – hence the darker the red the greater the consensus on where inflation is heading.</w:t>
      </w:r>
    </w:p>
    <w:p w:rsidR="00F10885" w:rsidRDefault="00F10885" w:rsidP="00512AFE">
      <w:pPr>
        <w:spacing w:after="0" w:line="240" w:lineRule="auto"/>
        <w:rPr>
          <w:rFonts w:cs="Calibri"/>
          <w:sz w:val="23"/>
          <w:szCs w:val="23"/>
          <w:lang w:val="en-US"/>
        </w:rPr>
      </w:pPr>
    </w:p>
    <w:p w:rsidR="00C575E9" w:rsidRDefault="00C575E9" w:rsidP="00512AFE">
      <w:pPr>
        <w:spacing w:after="0" w:line="240" w:lineRule="auto"/>
        <w:rPr>
          <w:rFonts w:cs="Calibri"/>
          <w:sz w:val="23"/>
          <w:szCs w:val="23"/>
          <w:lang w:val="en-US"/>
        </w:rPr>
      </w:pPr>
    </w:p>
    <w:p w:rsidR="00C575E9" w:rsidRDefault="00C575E9" w:rsidP="00512AFE">
      <w:pPr>
        <w:spacing w:after="0" w:line="240" w:lineRule="auto"/>
        <w:rPr>
          <w:rFonts w:cs="Calibri"/>
          <w:sz w:val="23"/>
          <w:szCs w:val="23"/>
          <w:lang w:val="en-US"/>
        </w:rPr>
      </w:pPr>
    </w:p>
    <w:p w:rsidR="00C575E9" w:rsidRDefault="00C575E9" w:rsidP="00512AFE">
      <w:pPr>
        <w:spacing w:after="0" w:line="240" w:lineRule="auto"/>
        <w:rPr>
          <w:rFonts w:cs="Calibri"/>
          <w:sz w:val="23"/>
          <w:szCs w:val="23"/>
          <w:lang w:val="en-US"/>
        </w:rPr>
      </w:pPr>
    </w:p>
    <w:p w:rsidR="00512AFE" w:rsidRPr="004066F6" w:rsidRDefault="00512AFE" w:rsidP="00585481">
      <w:pPr>
        <w:spacing w:after="0" w:line="240" w:lineRule="auto"/>
        <w:rPr>
          <w:rFonts w:eastAsia="Times New Roman" w:cs="Calibri"/>
          <w:sz w:val="23"/>
          <w:szCs w:val="23"/>
          <w:lang w:val="en-US" w:eastAsia="en-GB"/>
        </w:rPr>
      </w:pPr>
    </w:p>
    <w:p w:rsidR="00585481" w:rsidRPr="004066F6" w:rsidRDefault="009E3BA2" w:rsidP="00ED06AB">
      <w:pPr>
        <w:spacing w:after="0" w:line="240" w:lineRule="auto"/>
        <w:jc w:val="center"/>
        <w:rPr>
          <w:rFonts w:eastAsia="Times New Roman" w:cs="Calibri"/>
          <w:sz w:val="23"/>
          <w:szCs w:val="23"/>
          <w:lang w:eastAsia="en-GB"/>
        </w:rPr>
      </w:pPr>
      <w:r>
        <w:rPr>
          <w:rFonts w:cs="Calibri"/>
          <w:noProof/>
          <w:sz w:val="23"/>
          <w:szCs w:val="23"/>
          <w:lang w:eastAsia="en-GB"/>
        </w:rPr>
        <w:drawing>
          <wp:inline distT="0" distB="0" distL="0" distR="0">
            <wp:extent cx="4521200" cy="3784600"/>
            <wp:effectExtent l="0" t="0" r="0" b="6350"/>
            <wp:docPr id="3" name="Picture 1" descr="Description: http://www.bankofengland.co.uk/publications/PublishingImages/inflationreport/cpimktmay12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bankofengland.co.uk/publications/PublishingImages/inflationreport/cpimktmay12larg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1200" cy="3784600"/>
                    </a:xfrm>
                    <a:prstGeom prst="rect">
                      <a:avLst/>
                    </a:prstGeom>
                    <a:noFill/>
                    <a:ln>
                      <a:noFill/>
                    </a:ln>
                  </pic:spPr>
                </pic:pic>
              </a:graphicData>
            </a:graphic>
          </wp:inline>
        </w:drawing>
      </w:r>
    </w:p>
    <w:p w:rsidR="00585481" w:rsidRPr="004066F6" w:rsidRDefault="00585481" w:rsidP="00585481">
      <w:pPr>
        <w:spacing w:after="0" w:line="240" w:lineRule="auto"/>
        <w:rPr>
          <w:rFonts w:eastAsia="Times New Roman" w:cs="Calibri"/>
          <w:b/>
          <w:sz w:val="23"/>
          <w:szCs w:val="23"/>
          <w:lang w:val="en-US" w:eastAsia="en-GB"/>
        </w:rPr>
      </w:pPr>
    </w:p>
    <w:p w:rsidR="00585481" w:rsidRPr="004066F6" w:rsidRDefault="00585481" w:rsidP="00585481">
      <w:pPr>
        <w:rPr>
          <w:rFonts w:cs="Calibri"/>
          <w:sz w:val="23"/>
          <w:szCs w:val="23"/>
        </w:rPr>
      </w:pPr>
    </w:p>
    <w:p w:rsidR="00585481" w:rsidRPr="004066F6" w:rsidRDefault="00585481" w:rsidP="00893837">
      <w:pPr>
        <w:pStyle w:val="ListParagraph"/>
        <w:ind w:left="0"/>
        <w:jc w:val="both"/>
        <w:rPr>
          <w:rFonts w:cs="Calibri"/>
          <w:sz w:val="23"/>
          <w:szCs w:val="23"/>
        </w:rPr>
      </w:pPr>
    </w:p>
    <w:p w:rsidR="00877765" w:rsidRPr="004066F6" w:rsidRDefault="00877765" w:rsidP="00893837">
      <w:pPr>
        <w:pStyle w:val="ListParagraph"/>
        <w:ind w:left="0"/>
        <w:jc w:val="both"/>
        <w:rPr>
          <w:rFonts w:cs="Calibri"/>
          <w:sz w:val="23"/>
          <w:szCs w:val="23"/>
        </w:rPr>
      </w:pPr>
    </w:p>
    <w:p w:rsidR="009A0C95" w:rsidRPr="004066F6" w:rsidRDefault="009A0C95" w:rsidP="00893837">
      <w:pPr>
        <w:pStyle w:val="ListParagraph"/>
        <w:ind w:left="0"/>
        <w:jc w:val="both"/>
        <w:rPr>
          <w:rFonts w:cs="Calibri"/>
          <w:sz w:val="23"/>
          <w:szCs w:val="23"/>
        </w:rPr>
      </w:pPr>
    </w:p>
    <w:p w:rsidR="009A0C95" w:rsidRDefault="009A0C95" w:rsidP="00893837">
      <w:pPr>
        <w:pStyle w:val="ListParagraph"/>
        <w:ind w:left="0"/>
        <w:jc w:val="both"/>
        <w:rPr>
          <w:rFonts w:cs="Calibri"/>
          <w:sz w:val="23"/>
          <w:szCs w:val="23"/>
        </w:rPr>
      </w:pPr>
    </w:p>
    <w:p w:rsidR="007145E9" w:rsidRPr="004066F6" w:rsidRDefault="007145E9" w:rsidP="00893837">
      <w:pPr>
        <w:pStyle w:val="ListParagraph"/>
        <w:ind w:left="0"/>
        <w:jc w:val="both"/>
        <w:rPr>
          <w:rFonts w:cs="Calibri"/>
          <w:sz w:val="23"/>
          <w:szCs w:val="23"/>
        </w:rPr>
      </w:pPr>
    </w:p>
    <w:p w:rsidR="00250D5A" w:rsidRDefault="00250D5A" w:rsidP="00250D5A">
      <w:pPr>
        <w:pStyle w:val="Title"/>
        <w:rPr>
          <w:rStyle w:val="IntenseEmphasis"/>
          <w:color w:val="31849B"/>
          <w:spacing w:val="15"/>
          <w:kern w:val="0"/>
          <w:sz w:val="24"/>
          <w:szCs w:val="24"/>
          <w:lang w:val="en-GB"/>
        </w:rPr>
      </w:pPr>
    </w:p>
    <w:p w:rsidR="00250D5A" w:rsidRPr="00445D60" w:rsidRDefault="00512AFE" w:rsidP="004066F6">
      <w:pPr>
        <w:pStyle w:val="Subtitle"/>
        <w:numPr>
          <w:ilvl w:val="0"/>
          <w:numId w:val="6"/>
        </w:numPr>
        <w:rPr>
          <w:rStyle w:val="IntenseEmphasis"/>
          <w:rFonts w:ascii="Calibri" w:hAnsi="Calibri" w:cs="Calibri"/>
          <w:b w:val="0"/>
          <w:bCs w:val="0"/>
          <w:iCs/>
          <w:color w:val="31849B"/>
        </w:rPr>
      </w:pPr>
      <w:r w:rsidRPr="00445D60">
        <w:rPr>
          <w:rStyle w:val="IntenseEmphasis"/>
          <w:rFonts w:ascii="Calibri" w:hAnsi="Calibri" w:cs="Calibri"/>
          <w:b w:val="0"/>
          <w:bCs w:val="0"/>
          <w:iCs/>
          <w:color w:val="31849B"/>
        </w:rPr>
        <w:t>Share performance and economic outlook</w:t>
      </w:r>
    </w:p>
    <w:p w:rsidR="00512AFE" w:rsidRPr="004066F6" w:rsidRDefault="00512AFE" w:rsidP="0077704C">
      <w:pPr>
        <w:spacing w:after="0" w:line="240" w:lineRule="auto"/>
        <w:ind w:left="720"/>
        <w:rPr>
          <w:rFonts w:eastAsia="Times New Roman" w:cs="Calibri"/>
          <w:sz w:val="23"/>
          <w:szCs w:val="23"/>
          <w:lang w:eastAsia="en-GB"/>
        </w:rPr>
      </w:pPr>
    </w:p>
    <w:p w:rsidR="0077704C" w:rsidRPr="004066F6" w:rsidRDefault="0077704C" w:rsidP="0077704C">
      <w:pPr>
        <w:rPr>
          <w:rFonts w:cs="Calibri"/>
          <w:sz w:val="23"/>
          <w:szCs w:val="23"/>
        </w:rPr>
      </w:pPr>
      <w:r w:rsidRPr="004066F6">
        <w:rPr>
          <w:rFonts w:cs="Calibri"/>
          <w:sz w:val="23"/>
          <w:szCs w:val="23"/>
        </w:rPr>
        <w:t xml:space="preserve">Pension Practitioner has secured the services of an economic research provider to provide a review of the markets in 2011/12 and an assessment for 2012/13. </w:t>
      </w:r>
    </w:p>
    <w:p w:rsidR="0077704C" w:rsidRPr="004066F6" w:rsidRDefault="0077704C" w:rsidP="0077704C">
      <w:pPr>
        <w:rPr>
          <w:rFonts w:cs="Calibri"/>
          <w:sz w:val="23"/>
          <w:szCs w:val="23"/>
        </w:rPr>
      </w:pPr>
      <w:r w:rsidRPr="004066F6">
        <w:rPr>
          <w:rFonts w:cs="Calibri"/>
          <w:sz w:val="23"/>
          <w:szCs w:val="23"/>
        </w:rPr>
        <w:t xml:space="preserve">This outlook is completely independent in </w:t>
      </w:r>
      <w:r w:rsidR="004361B1" w:rsidRPr="004066F6">
        <w:rPr>
          <w:rFonts w:cs="Calibri"/>
          <w:sz w:val="23"/>
          <w:szCs w:val="23"/>
        </w:rPr>
        <w:t>its</w:t>
      </w:r>
      <w:r w:rsidRPr="004066F6">
        <w:rPr>
          <w:rFonts w:cs="Calibri"/>
          <w:sz w:val="23"/>
          <w:szCs w:val="23"/>
        </w:rPr>
        <w:t xml:space="preserve"> focus and should not in isolation be the basis in which to make a financial decision.</w:t>
      </w:r>
      <w:r w:rsidR="00F10885">
        <w:rPr>
          <w:rFonts w:cs="Calibri"/>
          <w:sz w:val="23"/>
          <w:szCs w:val="23"/>
        </w:rPr>
        <w:t xml:space="preserve"> </w:t>
      </w:r>
      <w:r w:rsidR="00445D60" w:rsidRPr="00445D60">
        <w:rPr>
          <w:rFonts w:cs="Calibri"/>
          <w:sz w:val="23"/>
          <w:szCs w:val="23"/>
        </w:rPr>
        <w:t>Please refer to your financial advisor for further advice before m</w:t>
      </w:r>
      <w:r w:rsidR="00445D60">
        <w:rPr>
          <w:rFonts w:cs="Calibri"/>
          <w:sz w:val="23"/>
          <w:szCs w:val="23"/>
        </w:rPr>
        <w:t xml:space="preserve">aking any investment decision. </w:t>
      </w:r>
      <w:r w:rsidRPr="004066F6">
        <w:rPr>
          <w:rFonts w:cs="Calibri"/>
          <w:sz w:val="23"/>
          <w:szCs w:val="23"/>
        </w:rPr>
        <w:t>The views expressed do not represent the views of Pension Practitioner .Com as we are not regulated to provide financial advice.</w:t>
      </w:r>
    </w:p>
    <w:p w:rsidR="0077704C" w:rsidRDefault="0077704C" w:rsidP="0077704C">
      <w:pPr>
        <w:rPr>
          <w:rFonts w:cs="Calibri"/>
          <w:sz w:val="23"/>
          <w:szCs w:val="23"/>
        </w:rPr>
      </w:pPr>
      <w:r w:rsidRPr="004066F6">
        <w:rPr>
          <w:rFonts w:cs="Calibri"/>
          <w:sz w:val="23"/>
          <w:szCs w:val="23"/>
        </w:rPr>
        <w:t>The material has been sourced from a number of areas, including the IMF 2012 Outlook report, Goldman Sacks Financial Outlook, and Industry respected individuals such as George Soros and Professor Peter Sheen.</w:t>
      </w:r>
    </w:p>
    <w:p w:rsidR="00DC2795" w:rsidRPr="004066F6" w:rsidRDefault="00DC2795" w:rsidP="0077704C">
      <w:pPr>
        <w:rPr>
          <w:rFonts w:cs="Calibri"/>
          <w:sz w:val="23"/>
          <w:szCs w:val="23"/>
        </w:rPr>
      </w:pPr>
    </w:p>
    <w:p w:rsidR="0077704C" w:rsidRPr="004066F6" w:rsidRDefault="0077704C" w:rsidP="0077704C">
      <w:pPr>
        <w:rPr>
          <w:rFonts w:cs="Calibri"/>
          <w:b/>
          <w:sz w:val="23"/>
          <w:szCs w:val="23"/>
        </w:rPr>
      </w:pPr>
      <w:r w:rsidRPr="004066F6">
        <w:rPr>
          <w:rFonts w:cs="Calibri"/>
          <w:b/>
          <w:sz w:val="23"/>
          <w:szCs w:val="23"/>
        </w:rPr>
        <w:t xml:space="preserve">Stock Market Performance in 2011/12 </w:t>
      </w:r>
    </w:p>
    <w:p w:rsidR="0077704C" w:rsidRPr="004066F6" w:rsidRDefault="009E3BA2" w:rsidP="0077704C">
      <w:pPr>
        <w:rPr>
          <w:rFonts w:cs="Calibri"/>
          <w:sz w:val="23"/>
          <w:szCs w:val="23"/>
        </w:rPr>
      </w:pPr>
      <w:r>
        <w:rPr>
          <w:rFonts w:cs="Calibri"/>
          <w:noProof/>
          <w:sz w:val="23"/>
          <w:szCs w:val="23"/>
          <w:lang w:eastAsia="en-GB"/>
        </w:rPr>
        <w:drawing>
          <wp:inline distT="0" distB="0" distL="0" distR="0">
            <wp:extent cx="5740400" cy="2451100"/>
            <wp:effectExtent l="0" t="0" r="0" b="6350"/>
            <wp:docPr id="4" name="Picture 4" descr="Description: Historical Data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istorical Data Ch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2451100"/>
                    </a:xfrm>
                    <a:prstGeom prst="rect">
                      <a:avLst/>
                    </a:prstGeom>
                    <a:noFill/>
                    <a:ln>
                      <a:noFill/>
                    </a:ln>
                  </pic:spPr>
                </pic:pic>
              </a:graphicData>
            </a:graphic>
          </wp:inline>
        </w:drawing>
      </w:r>
    </w:p>
    <w:p w:rsidR="0077704C" w:rsidRDefault="0077704C" w:rsidP="0077704C">
      <w:pPr>
        <w:rPr>
          <w:rFonts w:cs="Calibri"/>
          <w:sz w:val="23"/>
          <w:szCs w:val="23"/>
        </w:rPr>
      </w:pPr>
      <w:r w:rsidRPr="004066F6">
        <w:rPr>
          <w:rFonts w:cs="Calibri"/>
          <w:sz w:val="23"/>
          <w:szCs w:val="23"/>
        </w:rPr>
        <w:t xml:space="preserve">The FTSE 100, which is an index of the 100 largest public listed companies on the London Stock </w:t>
      </w:r>
      <w:proofErr w:type="gramStart"/>
      <w:r w:rsidRPr="004066F6">
        <w:rPr>
          <w:rFonts w:cs="Calibri"/>
          <w:sz w:val="23"/>
          <w:szCs w:val="23"/>
        </w:rPr>
        <w:t>Exchange</w:t>
      </w:r>
      <w:proofErr w:type="gramEnd"/>
      <w:r w:rsidRPr="004066F6">
        <w:rPr>
          <w:rFonts w:cs="Calibri"/>
          <w:sz w:val="23"/>
          <w:szCs w:val="23"/>
        </w:rPr>
        <w:t xml:space="preserve"> is also a useful barometer for measuring the state of the country and market confidence.  The FTSE hit the dizzy heights of 6900 in January 2000 and since this time it could be said that we are in a persistent bear market. The current market crisis hit the western economies in 2008, any hopeful recovery in stocks prices were short lived. For example, in 2010 the FTSE 100 rose 10%, but lost those gains by early 2012. This pattern has repeated itself in previous years.</w:t>
      </w:r>
    </w:p>
    <w:p w:rsidR="0011057B" w:rsidRDefault="0011057B" w:rsidP="0077704C">
      <w:pPr>
        <w:rPr>
          <w:rFonts w:cs="Calibri"/>
          <w:sz w:val="23"/>
          <w:szCs w:val="23"/>
        </w:rPr>
      </w:pPr>
    </w:p>
    <w:p w:rsidR="0011057B" w:rsidRDefault="0011057B" w:rsidP="0077704C">
      <w:pPr>
        <w:rPr>
          <w:rFonts w:cs="Calibri"/>
          <w:sz w:val="23"/>
          <w:szCs w:val="23"/>
        </w:rPr>
      </w:pPr>
    </w:p>
    <w:p w:rsidR="0011057B" w:rsidRDefault="0011057B" w:rsidP="0077704C">
      <w:pPr>
        <w:rPr>
          <w:rFonts w:cs="Calibri"/>
          <w:sz w:val="23"/>
          <w:szCs w:val="23"/>
        </w:rPr>
      </w:pPr>
    </w:p>
    <w:p w:rsidR="0077704C" w:rsidRPr="004066F6" w:rsidRDefault="0077704C" w:rsidP="0077704C">
      <w:pPr>
        <w:rPr>
          <w:rFonts w:cs="Calibri"/>
          <w:sz w:val="23"/>
          <w:szCs w:val="23"/>
        </w:rPr>
      </w:pPr>
      <w:r w:rsidRPr="004066F6">
        <w:rPr>
          <w:rFonts w:cs="Calibri"/>
          <w:sz w:val="23"/>
          <w:szCs w:val="23"/>
        </w:rPr>
        <w:lastRenderedPageBreak/>
        <w:t xml:space="preserve">Despite this condition, there were some strong performers in </w:t>
      </w:r>
      <w:r w:rsidR="004361B1" w:rsidRPr="004066F6">
        <w:rPr>
          <w:rFonts w:cs="Calibri"/>
          <w:sz w:val="23"/>
          <w:szCs w:val="23"/>
        </w:rPr>
        <w:t>2011;</w:t>
      </w:r>
      <w:r w:rsidRPr="004066F6">
        <w:rPr>
          <w:rFonts w:cs="Calibri"/>
          <w:sz w:val="23"/>
          <w:szCs w:val="23"/>
        </w:rPr>
        <w:t xml:space="preserve"> the top four FTSE 100 movers are listed below:</w:t>
      </w:r>
    </w:p>
    <w:tbl>
      <w:tblPr>
        <w:tblW w:w="5000" w:type="pct"/>
        <w:tblCellMar>
          <w:left w:w="10" w:type="dxa"/>
          <w:right w:w="10" w:type="dxa"/>
        </w:tblCellMar>
        <w:tblLook w:val="04A0" w:firstRow="1" w:lastRow="0" w:firstColumn="1" w:lastColumn="0" w:noHBand="0" w:noVBand="1"/>
      </w:tblPr>
      <w:tblGrid>
        <w:gridCol w:w="3001"/>
        <w:gridCol w:w="1561"/>
        <w:gridCol w:w="1430"/>
        <w:gridCol w:w="1543"/>
        <w:gridCol w:w="1539"/>
      </w:tblGrid>
      <w:tr w:rsidR="0077704C" w:rsidRPr="004066F6" w:rsidTr="004066F6">
        <w:tblPrEx>
          <w:tblCellMar>
            <w:top w:w="0" w:type="dxa"/>
            <w:bottom w:w="0" w:type="dxa"/>
          </w:tblCellMar>
        </w:tblPrEx>
        <w:trPr>
          <w:hidden/>
        </w:trPr>
        <w:tc>
          <w:tcPr>
            <w:tcW w:w="3001" w:type="dxa"/>
            <w:tcBorders>
              <w:bottom w:val="single" w:sz="6" w:space="0" w:color="DEE4FC"/>
              <w:right w:val="single" w:sz="6" w:space="0" w:color="FFFFFF"/>
            </w:tcBorders>
            <w:shd w:val="clear" w:color="auto" w:fill="FFFFFF"/>
            <w:tcMar>
              <w:top w:w="96" w:type="dxa"/>
              <w:left w:w="24" w:type="dxa"/>
              <w:bottom w:w="96" w:type="dxa"/>
              <w:right w:w="24" w:type="dxa"/>
            </w:tcMar>
          </w:tcPr>
          <w:p w:rsidR="0077704C" w:rsidRPr="004066F6" w:rsidRDefault="0077704C" w:rsidP="004066F6">
            <w:pPr>
              <w:pBdr>
                <w:bottom w:val="single" w:sz="6" w:space="1" w:color="000000"/>
              </w:pBdr>
              <w:spacing w:after="0" w:line="240" w:lineRule="auto"/>
              <w:jc w:val="center"/>
              <w:rPr>
                <w:rFonts w:eastAsia="Times New Roman" w:cs="Calibri"/>
                <w:vanish/>
                <w:sz w:val="23"/>
                <w:szCs w:val="23"/>
                <w:lang w:eastAsia="en-GB"/>
              </w:rPr>
            </w:pPr>
            <w:r w:rsidRPr="004066F6">
              <w:rPr>
                <w:rFonts w:eastAsia="Times New Roman" w:cs="Calibri"/>
                <w:vanish/>
                <w:sz w:val="23"/>
                <w:szCs w:val="23"/>
                <w:lang w:eastAsia="en-GB"/>
              </w:rPr>
              <w:t>Top of Form</w:t>
            </w:r>
          </w:p>
          <w:p w:rsidR="0077704C" w:rsidRPr="004066F6" w:rsidRDefault="0077704C" w:rsidP="004066F6">
            <w:pPr>
              <w:pBdr>
                <w:top w:val="single" w:sz="6" w:space="1" w:color="000000"/>
              </w:pBdr>
              <w:spacing w:after="0" w:line="240" w:lineRule="auto"/>
              <w:jc w:val="center"/>
              <w:rPr>
                <w:rFonts w:eastAsia="Times New Roman" w:cs="Calibri"/>
                <w:vanish/>
                <w:sz w:val="23"/>
                <w:szCs w:val="23"/>
                <w:lang w:eastAsia="en-GB"/>
              </w:rPr>
            </w:pPr>
            <w:r w:rsidRPr="004066F6">
              <w:rPr>
                <w:rFonts w:eastAsia="Times New Roman" w:cs="Calibri"/>
                <w:vanish/>
                <w:sz w:val="23"/>
                <w:szCs w:val="23"/>
                <w:lang w:eastAsia="en-GB"/>
              </w:rPr>
              <w:t>Bottom of Form</w:t>
            </w:r>
          </w:p>
          <w:p w:rsidR="0077704C" w:rsidRPr="004066F6" w:rsidRDefault="0077704C" w:rsidP="004066F6">
            <w:pPr>
              <w:spacing w:after="0" w:line="270" w:lineRule="atLeast"/>
              <w:rPr>
                <w:rFonts w:cs="Calibri"/>
                <w:sz w:val="23"/>
                <w:szCs w:val="23"/>
              </w:rPr>
            </w:pPr>
            <w:hyperlink r:id="rId11" w:tooltip="Name" w:history="1">
              <w:r w:rsidRPr="004066F6">
                <w:rPr>
                  <w:rFonts w:eastAsia="Times New Roman" w:cs="Calibri"/>
                  <w:b/>
                  <w:bCs/>
                  <w:color w:val="000000"/>
                  <w:sz w:val="23"/>
                  <w:szCs w:val="23"/>
                  <w:u w:val="single"/>
                  <w:lang w:eastAsia="en-GB"/>
                </w:rPr>
                <w:t>Name</w:t>
              </w:r>
            </w:hyperlink>
          </w:p>
        </w:tc>
        <w:tc>
          <w:tcPr>
            <w:tcW w:w="1561" w:type="dxa"/>
            <w:tcBorders>
              <w:bottom w:val="single" w:sz="6" w:space="0" w:color="DEE4FC"/>
              <w:right w:val="single" w:sz="6" w:space="0" w:color="FFFFFF"/>
            </w:tcBorders>
            <w:shd w:val="clear" w:color="auto" w:fill="FFFFFF"/>
            <w:tcMar>
              <w:top w:w="96" w:type="dxa"/>
              <w:left w:w="24" w:type="dxa"/>
              <w:bottom w:w="96" w:type="dxa"/>
              <w:right w:w="24" w:type="dxa"/>
            </w:tcMar>
          </w:tcPr>
          <w:p w:rsidR="0077704C" w:rsidRPr="004066F6" w:rsidRDefault="0077704C" w:rsidP="004066F6">
            <w:pPr>
              <w:pBdr>
                <w:bottom w:val="single" w:sz="6" w:space="1" w:color="000000"/>
              </w:pBdr>
              <w:spacing w:after="0" w:line="240" w:lineRule="auto"/>
              <w:jc w:val="center"/>
              <w:rPr>
                <w:rFonts w:eastAsia="Times New Roman" w:cs="Calibri"/>
                <w:vanish/>
                <w:sz w:val="23"/>
                <w:szCs w:val="23"/>
                <w:lang w:eastAsia="en-GB"/>
              </w:rPr>
            </w:pPr>
            <w:r w:rsidRPr="004066F6">
              <w:rPr>
                <w:rFonts w:eastAsia="Times New Roman" w:cs="Calibri"/>
                <w:vanish/>
                <w:sz w:val="23"/>
                <w:szCs w:val="23"/>
                <w:lang w:eastAsia="en-GB"/>
              </w:rPr>
              <w:t>Top of Form</w:t>
            </w:r>
          </w:p>
          <w:p w:rsidR="0077704C" w:rsidRPr="004066F6" w:rsidRDefault="0077704C" w:rsidP="004066F6">
            <w:pPr>
              <w:pBdr>
                <w:top w:val="single" w:sz="6" w:space="1" w:color="000000"/>
              </w:pBdr>
              <w:spacing w:after="0" w:line="240" w:lineRule="auto"/>
              <w:jc w:val="center"/>
              <w:rPr>
                <w:rFonts w:eastAsia="Times New Roman" w:cs="Calibri"/>
                <w:vanish/>
                <w:sz w:val="23"/>
                <w:szCs w:val="23"/>
                <w:lang w:eastAsia="en-GB"/>
              </w:rPr>
            </w:pPr>
            <w:r w:rsidRPr="004066F6">
              <w:rPr>
                <w:rFonts w:eastAsia="Times New Roman" w:cs="Calibri"/>
                <w:vanish/>
                <w:sz w:val="23"/>
                <w:szCs w:val="23"/>
                <w:lang w:eastAsia="en-GB"/>
              </w:rPr>
              <w:t>Bottom of Form</w:t>
            </w:r>
          </w:p>
          <w:p w:rsidR="0077704C" w:rsidRPr="004066F6" w:rsidRDefault="009E3BA2" w:rsidP="004066F6">
            <w:pPr>
              <w:spacing w:after="0" w:line="270" w:lineRule="atLeast"/>
              <w:jc w:val="right"/>
              <w:rPr>
                <w:rFonts w:cs="Calibri"/>
                <w:sz w:val="23"/>
                <w:szCs w:val="23"/>
              </w:rPr>
            </w:pPr>
            <w:r>
              <w:rPr>
                <w:rFonts w:eastAsia="Times New Roman" w:cs="Calibri"/>
                <w:b/>
                <w:noProof/>
                <w:sz w:val="23"/>
                <w:szCs w:val="23"/>
                <w:lang w:eastAsia="en-GB"/>
              </w:rPr>
              <w:drawing>
                <wp:inline distT="0" distB="0" distL="0" distR="0">
                  <wp:extent cx="114300" cy="114300"/>
                  <wp:effectExtent l="0" t="0" r="0" b="0"/>
                  <wp:docPr id="5" name="Picture 107" descr="Description: reverse the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Description: reverse the 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hyperlink r:id="rId13" w:tooltip="1 Year Chg" w:history="1">
              <w:r w:rsidR="0077704C" w:rsidRPr="004066F6">
                <w:rPr>
                  <w:rFonts w:eastAsia="Times New Roman" w:cs="Calibri"/>
                  <w:b/>
                  <w:bCs/>
                  <w:sz w:val="23"/>
                  <w:szCs w:val="23"/>
                  <w:lang w:eastAsia="en-GB"/>
                </w:rPr>
                <w:t xml:space="preserve">1 Year </w:t>
              </w:r>
              <w:proofErr w:type="spellStart"/>
              <w:r w:rsidR="0077704C" w:rsidRPr="004066F6">
                <w:rPr>
                  <w:rFonts w:eastAsia="Times New Roman" w:cs="Calibri"/>
                  <w:b/>
                  <w:bCs/>
                  <w:sz w:val="23"/>
                  <w:szCs w:val="23"/>
                  <w:lang w:eastAsia="en-GB"/>
                </w:rPr>
                <w:t>Chg</w:t>
              </w:r>
              <w:proofErr w:type="spellEnd"/>
            </w:hyperlink>
          </w:p>
        </w:tc>
        <w:tc>
          <w:tcPr>
            <w:tcW w:w="1430" w:type="dxa"/>
            <w:tcBorders>
              <w:bottom w:val="single" w:sz="6" w:space="0" w:color="DEE4FC"/>
              <w:right w:val="single" w:sz="6" w:space="0" w:color="FFFFFF"/>
            </w:tcBorders>
            <w:shd w:val="clear" w:color="auto" w:fill="FFFFFF"/>
            <w:tcMar>
              <w:top w:w="96" w:type="dxa"/>
              <w:left w:w="24" w:type="dxa"/>
              <w:bottom w:w="96" w:type="dxa"/>
              <w:right w:w="24" w:type="dxa"/>
            </w:tcMar>
          </w:tcPr>
          <w:p w:rsidR="0077704C" w:rsidRPr="004066F6" w:rsidRDefault="0077704C" w:rsidP="004066F6">
            <w:pPr>
              <w:pBdr>
                <w:bottom w:val="single" w:sz="6" w:space="1" w:color="000000"/>
              </w:pBdr>
              <w:spacing w:after="0" w:line="240" w:lineRule="auto"/>
              <w:jc w:val="center"/>
              <w:rPr>
                <w:rFonts w:eastAsia="Times New Roman" w:cs="Calibri"/>
                <w:vanish/>
                <w:sz w:val="23"/>
                <w:szCs w:val="23"/>
                <w:lang w:eastAsia="en-GB"/>
              </w:rPr>
            </w:pPr>
            <w:r w:rsidRPr="004066F6">
              <w:rPr>
                <w:rFonts w:eastAsia="Times New Roman" w:cs="Calibri"/>
                <w:vanish/>
                <w:sz w:val="23"/>
                <w:szCs w:val="23"/>
                <w:lang w:eastAsia="en-GB"/>
              </w:rPr>
              <w:t>Top of Form</w:t>
            </w:r>
          </w:p>
          <w:p w:rsidR="0077704C" w:rsidRPr="004066F6" w:rsidRDefault="0077704C" w:rsidP="004066F6">
            <w:pPr>
              <w:pBdr>
                <w:top w:val="single" w:sz="6" w:space="1" w:color="000000"/>
              </w:pBdr>
              <w:spacing w:after="0" w:line="240" w:lineRule="auto"/>
              <w:jc w:val="center"/>
              <w:rPr>
                <w:rFonts w:eastAsia="Times New Roman" w:cs="Calibri"/>
                <w:vanish/>
                <w:sz w:val="23"/>
                <w:szCs w:val="23"/>
                <w:lang w:eastAsia="en-GB"/>
              </w:rPr>
            </w:pPr>
            <w:r w:rsidRPr="004066F6">
              <w:rPr>
                <w:rFonts w:eastAsia="Times New Roman" w:cs="Calibri"/>
                <w:vanish/>
                <w:sz w:val="23"/>
                <w:szCs w:val="23"/>
                <w:lang w:eastAsia="en-GB"/>
              </w:rPr>
              <w:t>Bottom of Form</w:t>
            </w:r>
          </w:p>
          <w:p w:rsidR="0077704C" w:rsidRPr="004066F6" w:rsidRDefault="0077704C" w:rsidP="004066F6">
            <w:pPr>
              <w:spacing w:after="0" w:line="270" w:lineRule="atLeast"/>
              <w:jc w:val="right"/>
              <w:rPr>
                <w:rFonts w:cs="Calibri"/>
                <w:sz w:val="23"/>
                <w:szCs w:val="23"/>
              </w:rPr>
            </w:pPr>
            <w:hyperlink r:id="rId14" w:tooltip="2 Year Chg" w:history="1">
              <w:r w:rsidRPr="004066F6">
                <w:rPr>
                  <w:rFonts w:eastAsia="Times New Roman" w:cs="Calibri"/>
                  <w:b/>
                  <w:bCs/>
                  <w:sz w:val="23"/>
                  <w:szCs w:val="23"/>
                  <w:lang w:eastAsia="en-GB"/>
                </w:rPr>
                <w:t>2 Year Chg</w:t>
              </w:r>
            </w:hyperlink>
          </w:p>
        </w:tc>
        <w:tc>
          <w:tcPr>
            <w:tcW w:w="1543" w:type="dxa"/>
            <w:tcBorders>
              <w:bottom w:val="single" w:sz="6" w:space="0" w:color="DEE4FC"/>
              <w:right w:val="single" w:sz="6" w:space="0" w:color="FFFFFF"/>
            </w:tcBorders>
            <w:shd w:val="clear" w:color="auto" w:fill="FFFFFF"/>
            <w:tcMar>
              <w:top w:w="96" w:type="dxa"/>
              <w:left w:w="24" w:type="dxa"/>
              <w:bottom w:w="96" w:type="dxa"/>
              <w:right w:w="24" w:type="dxa"/>
            </w:tcMar>
          </w:tcPr>
          <w:p w:rsidR="0077704C" w:rsidRPr="004066F6" w:rsidRDefault="0077704C" w:rsidP="004066F6">
            <w:pPr>
              <w:pBdr>
                <w:bottom w:val="single" w:sz="6" w:space="1" w:color="000000"/>
              </w:pBdr>
              <w:spacing w:after="0" w:line="240" w:lineRule="auto"/>
              <w:jc w:val="center"/>
              <w:rPr>
                <w:rFonts w:eastAsia="Times New Roman" w:cs="Calibri"/>
                <w:vanish/>
                <w:sz w:val="23"/>
                <w:szCs w:val="23"/>
                <w:lang w:eastAsia="en-GB"/>
              </w:rPr>
            </w:pPr>
            <w:r w:rsidRPr="004066F6">
              <w:rPr>
                <w:rFonts w:eastAsia="Times New Roman" w:cs="Calibri"/>
                <w:vanish/>
                <w:sz w:val="23"/>
                <w:szCs w:val="23"/>
                <w:lang w:eastAsia="en-GB"/>
              </w:rPr>
              <w:t>Top of Form</w:t>
            </w:r>
          </w:p>
          <w:p w:rsidR="0077704C" w:rsidRPr="004066F6" w:rsidRDefault="0077704C" w:rsidP="004066F6">
            <w:pPr>
              <w:pBdr>
                <w:top w:val="single" w:sz="6" w:space="1" w:color="000000"/>
              </w:pBdr>
              <w:spacing w:after="0" w:line="240" w:lineRule="auto"/>
              <w:jc w:val="center"/>
              <w:rPr>
                <w:rFonts w:eastAsia="Times New Roman" w:cs="Calibri"/>
                <w:vanish/>
                <w:sz w:val="23"/>
                <w:szCs w:val="23"/>
                <w:lang w:eastAsia="en-GB"/>
              </w:rPr>
            </w:pPr>
            <w:r w:rsidRPr="004066F6">
              <w:rPr>
                <w:rFonts w:eastAsia="Times New Roman" w:cs="Calibri"/>
                <w:vanish/>
                <w:sz w:val="23"/>
                <w:szCs w:val="23"/>
                <w:lang w:eastAsia="en-GB"/>
              </w:rPr>
              <w:t>Bottom of Form</w:t>
            </w:r>
          </w:p>
          <w:p w:rsidR="0077704C" w:rsidRPr="004066F6" w:rsidRDefault="0077704C" w:rsidP="004066F6">
            <w:pPr>
              <w:spacing w:after="0" w:line="270" w:lineRule="atLeast"/>
              <w:jc w:val="right"/>
              <w:rPr>
                <w:rFonts w:cs="Calibri"/>
                <w:sz w:val="23"/>
                <w:szCs w:val="23"/>
              </w:rPr>
            </w:pPr>
            <w:hyperlink r:id="rId15" w:tooltip="3 Year Chg" w:history="1">
              <w:r w:rsidRPr="004066F6">
                <w:rPr>
                  <w:rFonts w:eastAsia="Times New Roman" w:cs="Calibri"/>
                  <w:b/>
                  <w:bCs/>
                  <w:color w:val="000000"/>
                  <w:sz w:val="23"/>
                  <w:szCs w:val="23"/>
                  <w:u w:val="single"/>
                  <w:lang w:eastAsia="en-GB"/>
                </w:rPr>
                <w:t>3 Year Chg</w:t>
              </w:r>
            </w:hyperlink>
          </w:p>
        </w:tc>
        <w:tc>
          <w:tcPr>
            <w:tcW w:w="1539" w:type="dxa"/>
            <w:tcBorders>
              <w:bottom w:val="single" w:sz="6" w:space="0" w:color="DEE4FC"/>
              <w:right w:val="single" w:sz="6" w:space="0" w:color="FFFFFF"/>
            </w:tcBorders>
            <w:shd w:val="clear" w:color="auto" w:fill="FFFFFF"/>
            <w:tcMar>
              <w:top w:w="96" w:type="dxa"/>
              <w:left w:w="24" w:type="dxa"/>
              <w:bottom w:w="96" w:type="dxa"/>
              <w:right w:w="24" w:type="dxa"/>
            </w:tcMar>
          </w:tcPr>
          <w:p w:rsidR="0077704C" w:rsidRPr="004066F6" w:rsidRDefault="0077704C" w:rsidP="004066F6">
            <w:pPr>
              <w:pBdr>
                <w:bottom w:val="single" w:sz="6" w:space="1" w:color="000000"/>
              </w:pBdr>
              <w:spacing w:after="0" w:line="240" w:lineRule="auto"/>
              <w:jc w:val="center"/>
              <w:rPr>
                <w:rFonts w:eastAsia="Times New Roman" w:cs="Calibri"/>
                <w:vanish/>
                <w:sz w:val="23"/>
                <w:szCs w:val="23"/>
                <w:lang w:eastAsia="en-GB"/>
              </w:rPr>
            </w:pPr>
            <w:r w:rsidRPr="004066F6">
              <w:rPr>
                <w:rFonts w:eastAsia="Times New Roman" w:cs="Calibri"/>
                <w:vanish/>
                <w:sz w:val="23"/>
                <w:szCs w:val="23"/>
                <w:lang w:eastAsia="en-GB"/>
              </w:rPr>
              <w:t>Top of Form</w:t>
            </w:r>
          </w:p>
          <w:p w:rsidR="0077704C" w:rsidRPr="004066F6" w:rsidRDefault="0077704C" w:rsidP="004066F6">
            <w:pPr>
              <w:pBdr>
                <w:top w:val="single" w:sz="6" w:space="1" w:color="000000"/>
              </w:pBdr>
              <w:spacing w:after="0" w:line="240" w:lineRule="auto"/>
              <w:jc w:val="center"/>
              <w:rPr>
                <w:rFonts w:eastAsia="Times New Roman" w:cs="Calibri"/>
                <w:vanish/>
                <w:sz w:val="23"/>
                <w:szCs w:val="23"/>
                <w:lang w:eastAsia="en-GB"/>
              </w:rPr>
            </w:pPr>
            <w:r w:rsidRPr="004066F6">
              <w:rPr>
                <w:rFonts w:eastAsia="Times New Roman" w:cs="Calibri"/>
                <w:vanish/>
                <w:sz w:val="23"/>
                <w:szCs w:val="23"/>
                <w:lang w:eastAsia="en-GB"/>
              </w:rPr>
              <w:t>Bottom of Form</w:t>
            </w:r>
          </w:p>
          <w:p w:rsidR="0077704C" w:rsidRPr="004066F6" w:rsidRDefault="0077704C" w:rsidP="004066F6">
            <w:pPr>
              <w:spacing w:after="0" w:line="270" w:lineRule="atLeast"/>
              <w:jc w:val="right"/>
              <w:rPr>
                <w:rFonts w:cs="Calibri"/>
                <w:sz w:val="23"/>
                <w:szCs w:val="23"/>
              </w:rPr>
            </w:pPr>
            <w:hyperlink r:id="rId16" w:tooltip="5 Year Chg" w:history="1">
              <w:r w:rsidRPr="004066F6">
                <w:rPr>
                  <w:rFonts w:eastAsia="Times New Roman" w:cs="Calibri"/>
                  <w:b/>
                  <w:bCs/>
                  <w:color w:val="000000"/>
                  <w:sz w:val="23"/>
                  <w:szCs w:val="23"/>
                  <w:u w:val="single"/>
                  <w:lang w:eastAsia="en-GB"/>
                </w:rPr>
                <w:t>5 Year Chg</w:t>
              </w:r>
            </w:hyperlink>
          </w:p>
        </w:tc>
      </w:tr>
      <w:tr w:rsidR="0077704C" w:rsidRPr="004066F6" w:rsidTr="004066F6">
        <w:tblPrEx>
          <w:tblCellMar>
            <w:top w:w="0" w:type="dxa"/>
            <w:bottom w:w="0" w:type="dxa"/>
          </w:tblCellMar>
        </w:tblPrEx>
        <w:tc>
          <w:tcPr>
            <w:tcW w:w="3001" w:type="dxa"/>
            <w:tcBorders>
              <w:bottom w:val="single" w:sz="6" w:space="0" w:color="DEE4FC"/>
              <w:right w:val="single" w:sz="6" w:space="0" w:color="FFFFFF"/>
            </w:tcBorders>
            <w:shd w:val="clear" w:color="auto" w:fill="FFFFFF"/>
            <w:tcMar>
              <w:top w:w="96" w:type="dxa"/>
              <w:left w:w="24" w:type="dxa"/>
              <w:bottom w:w="96" w:type="dxa"/>
              <w:right w:w="24" w:type="dxa"/>
            </w:tcMar>
          </w:tcPr>
          <w:p w:rsidR="0077704C" w:rsidRPr="004066F6" w:rsidRDefault="0077704C" w:rsidP="004066F6">
            <w:pPr>
              <w:spacing w:after="0" w:line="270" w:lineRule="atLeast"/>
              <w:rPr>
                <w:rFonts w:cs="Calibri"/>
                <w:sz w:val="23"/>
                <w:szCs w:val="23"/>
              </w:rPr>
            </w:pPr>
            <w:r w:rsidRPr="004066F6">
              <w:rPr>
                <w:rFonts w:eastAsia="Times New Roman" w:cs="Calibri"/>
                <w:sz w:val="23"/>
                <w:szCs w:val="23"/>
                <w:lang w:eastAsia="en-GB"/>
              </w:rPr>
              <w:t>Intertek Group</w:t>
            </w:r>
          </w:p>
        </w:tc>
        <w:tc>
          <w:tcPr>
            <w:tcW w:w="1561"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35.37%</w:t>
            </w:r>
          </w:p>
        </w:tc>
        <w:tc>
          <w:tcPr>
            <w:tcW w:w="1430"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94.56%</w:t>
            </w:r>
          </w:p>
        </w:tc>
        <w:tc>
          <w:tcPr>
            <w:tcW w:w="1543"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147.74%</w:t>
            </w:r>
          </w:p>
        </w:tc>
        <w:tc>
          <w:tcPr>
            <w:tcW w:w="1539"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196.14%</w:t>
            </w:r>
          </w:p>
        </w:tc>
      </w:tr>
      <w:tr w:rsidR="0077704C" w:rsidRPr="004066F6" w:rsidTr="004066F6">
        <w:tblPrEx>
          <w:tblCellMar>
            <w:top w:w="0" w:type="dxa"/>
            <w:bottom w:w="0" w:type="dxa"/>
          </w:tblCellMar>
        </w:tblPrEx>
        <w:tc>
          <w:tcPr>
            <w:tcW w:w="3001" w:type="dxa"/>
            <w:tcBorders>
              <w:bottom w:val="single" w:sz="6" w:space="0" w:color="DEE4FC"/>
              <w:right w:val="single" w:sz="6" w:space="0" w:color="FFFFFF"/>
            </w:tcBorders>
            <w:shd w:val="clear" w:color="auto" w:fill="FFFFFF"/>
            <w:tcMar>
              <w:top w:w="96" w:type="dxa"/>
              <w:left w:w="24" w:type="dxa"/>
              <w:bottom w:w="96" w:type="dxa"/>
              <w:right w:w="24" w:type="dxa"/>
            </w:tcMar>
          </w:tcPr>
          <w:p w:rsidR="0077704C" w:rsidRPr="004066F6" w:rsidRDefault="0077704C" w:rsidP="004066F6">
            <w:pPr>
              <w:spacing w:after="0" w:line="270" w:lineRule="atLeast"/>
              <w:rPr>
                <w:rFonts w:cs="Calibri"/>
                <w:sz w:val="23"/>
                <w:szCs w:val="23"/>
              </w:rPr>
            </w:pPr>
            <w:r w:rsidRPr="004066F6">
              <w:rPr>
                <w:rFonts w:eastAsia="Times New Roman" w:cs="Calibri"/>
                <w:sz w:val="23"/>
                <w:szCs w:val="23"/>
                <w:lang w:eastAsia="en-GB"/>
              </w:rPr>
              <w:t>Bunzl</w:t>
            </w:r>
          </w:p>
        </w:tc>
        <w:tc>
          <w:tcPr>
            <w:tcW w:w="1561"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34.80%</w:t>
            </w:r>
          </w:p>
        </w:tc>
        <w:tc>
          <w:tcPr>
            <w:tcW w:w="1430"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46.69%</w:t>
            </w:r>
          </w:p>
        </w:tc>
        <w:tc>
          <w:tcPr>
            <w:tcW w:w="1543"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103.52%</w:t>
            </w:r>
          </w:p>
        </w:tc>
        <w:tc>
          <w:tcPr>
            <w:tcW w:w="1539"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47.31%</w:t>
            </w:r>
          </w:p>
        </w:tc>
      </w:tr>
      <w:tr w:rsidR="0077704C" w:rsidRPr="004066F6" w:rsidTr="004066F6">
        <w:tblPrEx>
          <w:tblCellMar>
            <w:top w:w="0" w:type="dxa"/>
            <w:bottom w:w="0" w:type="dxa"/>
          </w:tblCellMar>
        </w:tblPrEx>
        <w:tc>
          <w:tcPr>
            <w:tcW w:w="3001" w:type="dxa"/>
            <w:tcBorders>
              <w:bottom w:val="single" w:sz="6" w:space="0" w:color="DEE4FC"/>
              <w:right w:val="single" w:sz="6" w:space="0" w:color="FFFFFF"/>
            </w:tcBorders>
            <w:shd w:val="clear" w:color="auto" w:fill="FFFFFF"/>
            <w:tcMar>
              <w:top w:w="96" w:type="dxa"/>
              <w:left w:w="24" w:type="dxa"/>
              <w:bottom w:w="96" w:type="dxa"/>
              <w:right w:w="24" w:type="dxa"/>
            </w:tcMar>
          </w:tcPr>
          <w:p w:rsidR="0077704C" w:rsidRPr="004066F6" w:rsidRDefault="0077704C" w:rsidP="004066F6">
            <w:pPr>
              <w:spacing w:after="0" w:line="270" w:lineRule="atLeast"/>
              <w:rPr>
                <w:rFonts w:cs="Calibri"/>
                <w:sz w:val="23"/>
                <w:szCs w:val="23"/>
              </w:rPr>
            </w:pPr>
            <w:r w:rsidRPr="004066F6">
              <w:rPr>
                <w:rFonts w:eastAsia="Times New Roman" w:cs="Calibri"/>
                <w:sz w:val="23"/>
                <w:szCs w:val="23"/>
                <w:lang w:eastAsia="en-GB"/>
              </w:rPr>
              <w:t>Rolls-Royce Holdings</w:t>
            </w:r>
          </w:p>
        </w:tc>
        <w:tc>
          <w:tcPr>
            <w:tcW w:w="1561"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34.73%</w:t>
            </w:r>
          </w:p>
        </w:tc>
        <w:tc>
          <w:tcPr>
            <w:tcW w:w="1430"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40.03%</w:t>
            </w:r>
          </w:p>
        </w:tc>
        <w:tc>
          <w:tcPr>
            <w:tcW w:w="1543"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143.96%</w:t>
            </w:r>
          </w:p>
        </w:tc>
        <w:tc>
          <w:tcPr>
            <w:tcW w:w="1539"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65.15%</w:t>
            </w:r>
          </w:p>
        </w:tc>
      </w:tr>
      <w:tr w:rsidR="0077704C" w:rsidRPr="004066F6" w:rsidTr="004066F6">
        <w:tblPrEx>
          <w:tblCellMar>
            <w:top w:w="0" w:type="dxa"/>
            <w:bottom w:w="0" w:type="dxa"/>
          </w:tblCellMar>
        </w:tblPrEx>
        <w:tc>
          <w:tcPr>
            <w:tcW w:w="3001" w:type="dxa"/>
            <w:tcBorders>
              <w:bottom w:val="single" w:sz="6" w:space="0" w:color="DEE4FC"/>
              <w:right w:val="single" w:sz="6" w:space="0" w:color="FFFFFF"/>
            </w:tcBorders>
            <w:shd w:val="clear" w:color="auto" w:fill="FFFFFF"/>
            <w:tcMar>
              <w:top w:w="96" w:type="dxa"/>
              <w:left w:w="24" w:type="dxa"/>
              <w:bottom w:w="96" w:type="dxa"/>
              <w:right w:w="24" w:type="dxa"/>
            </w:tcMar>
          </w:tcPr>
          <w:p w:rsidR="0077704C" w:rsidRPr="004066F6" w:rsidRDefault="0077704C" w:rsidP="004066F6">
            <w:pPr>
              <w:spacing w:after="0" w:line="270" w:lineRule="atLeast"/>
              <w:rPr>
                <w:rFonts w:cs="Calibri"/>
                <w:sz w:val="23"/>
                <w:szCs w:val="23"/>
              </w:rPr>
            </w:pPr>
            <w:r w:rsidRPr="004066F6">
              <w:rPr>
                <w:rFonts w:eastAsia="Times New Roman" w:cs="Calibri"/>
                <w:sz w:val="23"/>
                <w:szCs w:val="23"/>
                <w:lang w:eastAsia="en-GB"/>
              </w:rPr>
              <w:t>Next</w:t>
            </w:r>
          </w:p>
        </w:tc>
        <w:tc>
          <w:tcPr>
            <w:tcW w:w="1561"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34.46%</w:t>
            </w:r>
          </w:p>
        </w:tc>
        <w:tc>
          <w:tcPr>
            <w:tcW w:w="1430"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48.68%</w:t>
            </w:r>
          </w:p>
        </w:tc>
        <w:tc>
          <w:tcPr>
            <w:tcW w:w="1543"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99.08%</w:t>
            </w:r>
          </w:p>
        </w:tc>
        <w:tc>
          <w:tcPr>
            <w:tcW w:w="1539" w:type="dxa"/>
            <w:tcBorders>
              <w:bottom w:val="single" w:sz="6" w:space="0" w:color="DEE4FC"/>
              <w:right w:val="single" w:sz="6" w:space="0" w:color="FFFFFF"/>
            </w:tcBorders>
            <w:shd w:val="clear" w:color="auto" w:fill="FFFFFF"/>
            <w:noWrap/>
            <w:tcMar>
              <w:top w:w="96" w:type="dxa"/>
              <w:left w:w="24" w:type="dxa"/>
              <w:bottom w:w="96" w:type="dxa"/>
              <w:right w:w="24" w:type="dxa"/>
            </w:tcMar>
          </w:tcPr>
          <w:p w:rsidR="0077704C" w:rsidRPr="004066F6" w:rsidRDefault="0077704C" w:rsidP="004066F6">
            <w:pPr>
              <w:spacing w:after="0" w:line="270" w:lineRule="atLeast"/>
              <w:jc w:val="right"/>
              <w:rPr>
                <w:rFonts w:eastAsia="Times New Roman" w:cs="Calibri"/>
                <w:color w:val="000000"/>
                <w:sz w:val="23"/>
                <w:szCs w:val="23"/>
                <w:lang w:eastAsia="en-GB"/>
              </w:rPr>
            </w:pPr>
            <w:r w:rsidRPr="004066F6">
              <w:rPr>
                <w:rFonts w:eastAsia="Times New Roman" w:cs="Calibri"/>
                <w:color w:val="000000"/>
                <w:sz w:val="23"/>
                <w:szCs w:val="23"/>
                <w:lang w:eastAsia="en-GB"/>
              </w:rPr>
              <w:t>44.30%</w:t>
            </w:r>
          </w:p>
        </w:tc>
      </w:tr>
    </w:tbl>
    <w:p w:rsidR="0077704C" w:rsidRPr="004066F6" w:rsidRDefault="0077704C" w:rsidP="0077704C">
      <w:pPr>
        <w:rPr>
          <w:rFonts w:cs="Calibri"/>
          <w:sz w:val="23"/>
          <w:szCs w:val="23"/>
        </w:rPr>
      </w:pPr>
    </w:p>
    <w:p w:rsidR="0077704C" w:rsidRPr="004066F6" w:rsidRDefault="0077704C" w:rsidP="0077704C">
      <w:pPr>
        <w:rPr>
          <w:rFonts w:cs="Calibri"/>
          <w:sz w:val="23"/>
          <w:szCs w:val="23"/>
        </w:rPr>
      </w:pPr>
      <w:r w:rsidRPr="004066F6">
        <w:rPr>
          <w:rFonts w:cs="Calibri"/>
          <w:b/>
          <w:sz w:val="23"/>
          <w:szCs w:val="23"/>
        </w:rPr>
        <w:t>Are UK stocks and shares generally going to go up?</w:t>
      </w:r>
    </w:p>
    <w:p w:rsidR="0077704C" w:rsidRPr="004066F6" w:rsidRDefault="0077704C" w:rsidP="0077704C">
      <w:pPr>
        <w:rPr>
          <w:rFonts w:cs="Calibri"/>
          <w:sz w:val="23"/>
          <w:szCs w:val="23"/>
        </w:rPr>
      </w:pPr>
      <w:r w:rsidRPr="004066F6">
        <w:rPr>
          <w:rFonts w:cs="Calibri"/>
          <w:sz w:val="23"/>
          <w:szCs w:val="23"/>
        </w:rPr>
        <w:t xml:space="preserve">Since 2000, we have had two major corrections, the first trigger was the over-valuation of technology stocks (remember lastminute.com!) and the second </w:t>
      </w:r>
      <w:r w:rsidR="00CB7D56" w:rsidRPr="004066F6">
        <w:rPr>
          <w:rFonts w:cs="Calibri"/>
          <w:sz w:val="23"/>
          <w:szCs w:val="23"/>
        </w:rPr>
        <w:t xml:space="preserve">most recent a </w:t>
      </w:r>
      <w:r w:rsidRPr="004066F6">
        <w:rPr>
          <w:rFonts w:cs="Calibri"/>
          <w:sz w:val="23"/>
          <w:szCs w:val="23"/>
        </w:rPr>
        <w:t xml:space="preserve">collapse </w:t>
      </w:r>
      <w:r w:rsidR="00CB7D56" w:rsidRPr="004066F6">
        <w:rPr>
          <w:rFonts w:cs="Calibri"/>
          <w:sz w:val="23"/>
          <w:szCs w:val="23"/>
        </w:rPr>
        <w:t xml:space="preserve">of </w:t>
      </w:r>
      <w:r w:rsidRPr="004066F6">
        <w:rPr>
          <w:rFonts w:cs="Calibri"/>
          <w:sz w:val="23"/>
          <w:szCs w:val="23"/>
        </w:rPr>
        <w:t xml:space="preserve">asset prices. The former was brought about by rising levels of personal debt and a leveraging of assets with an inflated valuation basis. </w:t>
      </w:r>
    </w:p>
    <w:p w:rsidR="0077704C" w:rsidRPr="004066F6" w:rsidRDefault="0077704C" w:rsidP="0077704C">
      <w:pPr>
        <w:rPr>
          <w:rFonts w:cs="Calibri"/>
          <w:sz w:val="23"/>
          <w:szCs w:val="23"/>
        </w:rPr>
      </w:pPr>
      <w:r w:rsidRPr="004066F6">
        <w:rPr>
          <w:rFonts w:cs="Calibri"/>
          <w:sz w:val="23"/>
          <w:szCs w:val="23"/>
        </w:rPr>
        <w:t xml:space="preserve">If you believe history, a third and final correction is due and the same group of economists who forecasted the current market </w:t>
      </w:r>
      <w:r w:rsidR="004361B1" w:rsidRPr="004066F6">
        <w:rPr>
          <w:rFonts w:cs="Calibri"/>
          <w:sz w:val="23"/>
          <w:szCs w:val="23"/>
        </w:rPr>
        <w:t>turmoil</w:t>
      </w:r>
      <w:r w:rsidRPr="004066F6">
        <w:rPr>
          <w:rFonts w:cs="Calibri"/>
          <w:sz w:val="23"/>
          <w:szCs w:val="23"/>
        </w:rPr>
        <w:t xml:space="preserve"> believe that we are no more than 50% through the current “cycle”. Further corrections could still be due as the collapse in asset prices has still not reduced the level of debt.  If you invest in overseas markets, the correction</w:t>
      </w:r>
      <w:r w:rsidR="00CB7D56" w:rsidRPr="004066F6">
        <w:rPr>
          <w:rFonts w:cs="Calibri"/>
          <w:sz w:val="23"/>
          <w:szCs w:val="23"/>
        </w:rPr>
        <w:t xml:space="preserve"> is</w:t>
      </w:r>
      <w:r w:rsidRPr="004066F6">
        <w:rPr>
          <w:rFonts w:cs="Calibri"/>
          <w:sz w:val="23"/>
          <w:szCs w:val="23"/>
        </w:rPr>
        <w:t xml:space="preserve"> likely to impinge on g</w:t>
      </w:r>
      <w:r w:rsidRPr="004066F6">
        <w:rPr>
          <w:rFonts w:cs="Calibri"/>
          <w:sz w:val="23"/>
          <w:szCs w:val="23"/>
          <w:shd w:val="clear" w:color="auto" w:fill="FFFFFF"/>
        </w:rPr>
        <w:t xml:space="preserve">rowth in emerging markets such as Latin America.  To highlight this, the IMF expects growth in Latin America and the Caribbean to moderate to about 3¾% in 2012, from about 4½% last year. </w:t>
      </w:r>
    </w:p>
    <w:p w:rsidR="0077704C" w:rsidRPr="004066F6" w:rsidRDefault="0077704C" w:rsidP="0077704C">
      <w:pPr>
        <w:rPr>
          <w:rFonts w:cs="Calibri"/>
          <w:sz w:val="23"/>
          <w:szCs w:val="23"/>
        </w:rPr>
      </w:pPr>
      <w:r w:rsidRPr="004066F6">
        <w:rPr>
          <w:rFonts w:cs="Calibri"/>
          <w:sz w:val="23"/>
          <w:szCs w:val="23"/>
        </w:rPr>
        <w:t xml:space="preserve">On the contrarian side, stocks look cheap relative to bonds and as the table above shows investment in certain stocks such as </w:t>
      </w:r>
      <w:r w:rsidRPr="004066F6">
        <w:rPr>
          <w:rFonts w:eastAsia="Times New Roman" w:cs="Calibri"/>
          <w:sz w:val="23"/>
          <w:szCs w:val="23"/>
          <w:lang w:eastAsia="en-GB"/>
        </w:rPr>
        <w:t xml:space="preserve">Intertek Group would have given you a return on your money of 35% over 12 months to April 2012; money therefore continues to be made in the UK and overseas stock markets but with careful stock selection. </w:t>
      </w:r>
    </w:p>
    <w:p w:rsidR="0077704C" w:rsidRPr="004066F6" w:rsidRDefault="0077704C" w:rsidP="0077704C">
      <w:pPr>
        <w:rPr>
          <w:rFonts w:cs="Calibri"/>
          <w:b/>
          <w:sz w:val="23"/>
          <w:szCs w:val="23"/>
        </w:rPr>
      </w:pPr>
      <w:r w:rsidRPr="004066F6">
        <w:rPr>
          <w:rFonts w:cs="Calibri"/>
          <w:b/>
          <w:sz w:val="23"/>
          <w:szCs w:val="23"/>
        </w:rPr>
        <w:t>Are government bonds a safe haven?</w:t>
      </w:r>
    </w:p>
    <w:p w:rsidR="0077704C" w:rsidRPr="004066F6" w:rsidRDefault="0077704C" w:rsidP="0077704C">
      <w:pPr>
        <w:rPr>
          <w:rFonts w:cs="Calibri"/>
          <w:sz w:val="23"/>
          <w:szCs w:val="23"/>
        </w:rPr>
      </w:pPr>
      <w:r w:rsidRPr="004066F6">
        <w:rPr>
          <w:rFonts w:cs="Calibri"/>
          <w:sz w:val="23"/>
          <w:szCs w:val="23"/>
        </w:rPr>
        <w:t xml:space="preserve">The capital markets are the source in which debt is traded and raised by Governments and firms. Countries like Singapore and China who have been buying much of the bonds issued by European banks feel that weaker countries such as Greece, Spain, </w:t>
      </w:r>
      <w:r w:rsidR="004361B1" w:rsidRPr="004066F6">
        <w:rPr>
          <w:rFonts w:cs="Calibri"/>
          <w:sz w:val="23"/>
          <w:szCs w:val="23"/>
        </w:rPr>
        <w:t>and Ireland</w:t>
      </w:r>
      <w:r w:rsidRPr="004066F6">
        <w:rPr>
          <w:rFonts w:cs="Calibri"/>
          <w:sz w:val="23"/>
          <w:szCs w:val="23"/>
        </w:rPr>
        <w:t xml:space="preserve"> pose a greater default risk and therefore the interest rate that these countries can borrow at increases.  </w:t>
      </w:r>
    </w:p>
    <w:p w:rsidR="00F10885" w:rsidRDefault="0077704C" w:rsidP="0077704C">
      <w:pPr>
        <w:rPr>
          <w:rFonts w:cs="Calibri"/>
          <w:sz w:val="23"/>
          <w:szCs w:val="23"/>
        </w:rPr>
      </w:pPr>
      <w:r w:rsidRPr="004066F6">
        <w:rPr>
          <w:rFonts w:cs="Calibri"/>
          <w:sz w:val="23"/>
          <w:szCs w:val="23"/>
        </w:rPr>
        <w:t xml:space="preserve">In the short term, “safe” countries such as Germany and to some extent the UK have seen their borrowing rates reduce.  UK Government bonds yields are likely to remain low in 2012, </w:t>
      </w:r>
      <w:r w:rsidR="00CB7D56" w:rsidRPr="004066F6">
        <w:rPr>
          <w:rFonts w:cs="Calibri"/>
          <w:sz w:val="23"/>
          <w:szCs w:val="23"/>
        </w:rPr>
        <w:t xml:space="preserve">despite bank downgrades </w:t>
      </w:r>
      <w:r w:rsidRPr="004066F6">
        <w:rPr>
          <w:rFonts w:cs="Calibri"/>
          <w:sz w:val="23"/>
          <w:szCs w:val="23"/>
        </w:rPr>
        <w:t xml:space="preserve">which also </w:t>
      </w:r>
      <w:proofErr w:type="gramStart"/>
      <w:r w:rsidRPr="004066F6">
        <w:rPr>
          <w:rFonts w:cs="Calibri"/>
          <w:sz w:val="23"/>
          <w:szCs w:val="23"/>
        </w:rPr>
        <w:t>means</w:t>
      </w:r>
      <w:proofErr w:type="gramEnd"/>
      <w:r w:rsidRPr="004066F6">
        <w:rPr>
          <w:rFonts w:cs="Calibri"/>
          <w:sz w:val="23"/>
          <w:szCs w:val="23"/>
        </w:rPr>
        <w:t xml:space="preserve"> that pension income rates will stay low. If you are drawing a pension, the yields by which your pension is assessed will remain unchanged at best.  UK Government bond yields may however rise if our economy does not start showing some real growth; as there will be a lack of market confidence and questions will arise on debt serviceability.  </w:t>
      </w:r>
    </w:p>
    <w:p w:rsidR="00D25B8B" w:rsidRPr="004066F6" w:rsidRDefault="00D25B8B" w:rsidP="0077704C">
      <w:pPr>
        <w:rPr>
          <w:rFonts w:cs="Calibri"/>
          <w:sz w:val="23"/>
          <w:szCs w:val="23"/>
        </w:rPr>
      </w:pPr>
    </w:p>
    <w:p w:rsidR="0077704C" w:rsidRPr="004066F6" w:rsidRDefault="0077704C" w:rsidP="0077704C">
      <w:pPr>
        <w:rPr>
          <w:rFonts w:cs="Calibri"/>
          <w:sz w:val="23"/>
          <w:szCs w:val="23"/>
        </w:rPr>
      </w:pPr>
      <w:r w:rsidRPr="004066F6">
        <w:rPr>
          <w:rFonts w:cs="Calibri"/>
          <w:sz w:val="23"/>
          <w:szCs w:val="23"/>
        </w:rPr>
        <w:t>Pension funds can invest in UK and overseas government bonds through a variety of methods. The mos</w:t>
      </w:r>
      <w:r w:rsidR="00D25B8B">
        <w:rPr>
          <w:rFonts w:cs="Calibri"/>
          <w:sz w:val="23"/>
          <w:szCs w:val="23"/>
        </w:rPr>
        <w:t xml:space="preserve">t popular method of investing </w:t>
      </w:r>
      <w:r w:rsidRPr="004066F6">
        <w:rPr>
          <w:rFonts w:cs="Calibri"/>
          <w:sz w:val="23"/>
          <w:szCs w:val="23"/>
        </w:rPr>
        <w:t xml:space="preserve">in UK government bonds is via Post Office bond issues. </w:t>
      </w:r>
      <w:r w:rsidRPr="004066F6">
        <w:rPr>
          <w:rFonts w:cs="Calibri"/>
          <w:color w:val="333333"/>
          <w:sz w:val="23"/>
          <w:szCs w:val="23"/>
          <w:shd w:val="clear" w:color="auto" w:fill="FFFFFF"/>
        </w:rPr>
        <w:t xml:space="preserve">Members of the public can also buy gilts directly from the Debt Management Office at gilt auctions. </w:t>
      </w:r>
      <w:r w:rsidRPr="004066F6">
        <w:rPr>
          <w:rFonts w:cs="Calibri"/>
          <w:sz w:val="23"/>
          <w:szCs w:val="23"/>
        </w:rPr>
        <w:t xml:space="preserve">Current post office issues give a return of a little over 3% on 1 year investments. Building society bonds which carry a higher risk are yielding an extra 0.5% return on average for 1 year issues. </w:t>
      </w:r>
    </w:p>
    <w:p w:rsidR="0077704C" w:rsidRPr="004066F6" w:rsidRDefault="0077704C" w:rsidP="0077704C">
      <w:pPr>
        <w:rPr>
          <w:rFonts w:cs="Calibri"/>
          <w:sz w:val="23"/>
          <w:szCs w:val="23"/>
        </w:rPr>
      </w:pPr>
      <w:r w:rsidRPr="004066F6">
        <w:rPr>
          <w:rFonts w:cs="Calibri"/>
          <w:sz w:val="23"/>
          <w:szCs w:val="23"/>
        </w:rPr>
        <w:t xml:space="preserve">As bonds are a form of debt, this takes us to commercial borrowing rates. The outlook on commercial borrowing rates for 2012 is that the cost for banks borrowing in the wholesale market will increase – which will be passed on to retail customers, such as trustees of pension schemes </w:t>
      </w:r>
      <w:r w:rsidR="00CB7D56" w:rsidRPr="004066F6">
        <w:rPr>
          <w:rFonts w:cs="Calibri"/>
          <w:sz w:val="23"/>
          <w:szCs w:val="23"/>
        </w:rPr>
        <w:t>purchasing</w:t>
      </w:r>
      <w:r w:rsidRPr="004066F6">
        <w:rPr>
          <w:rFonts w:cs="Calibri"/>
          <w:sz w:val="23"/>
          <w:szCs w:val="23"/>
        </w:rPr>
        <w:t xml:space="preserve"> and refinancing commercial property. </w:t>
      </w:r>
    </w:p>
    <w:p w:rsidR="0077704C" w:rsidRDefault="00D25B8B" w:rsidP="0077704C">
      <w:pPr>
        <w:rPr>
          <w:rFonts w:cs="Calibri"/>
          <w:sz w:val="23"/>
          <w:szCs w:val="23"/>
        </w:rPr>
      </w:pPr>
      <w:r w:rsidRPr="00D25B8B">
        <w:rPr>
          <w:rFonts w:cs="Calibri"/>
          <w:sz w:val="23"/>
          <w:szCs w:val="23"/>
        </w:rPr>
        <w:t>W</w:t>
      </w:r>
      <w:r>
        <w:rPr>
          <w:rFonts w:cs="Calibri"/>
          <w:sz w:val="23"/>
          <w:szCs w:val="23"/>
        </w:rPr>
        <w:t>e u</w:t>
      </w:r>
      <w:r w:rsidR="0077704C" w:rsidRPr="004066F6">
        <w:rPr>
          <w:rFonts w:cs="Calibri"/>
          <w:sz w:val="23"/>
          <w:szCs w:val="23"/>
        </w:rPr>
        <w:t xml:space="preserve">se Investec Bank for pension scheme bank accounts, who give one of the strongest for returns on cash deposits for </w:t>
      </w:r>
      <w:r>
        <w:rPr>
          <w:rFonts w:cs="Calibri"/>
          <w:sz w:val="23"/>
          <w:szCs w:val="23"/>
        </w:rPr>
        <w:t>terms accounts</w:t>
      </w:r>
      <w:r w:rsidR="0077704C" w:rsidRPr="004066F6">
        <w:rPr>
          <w:rFonts w:cs="Calibri"/>
          <w:sz w:val="23"/>
          <w:szCs w:val="23"/>
        </w:rPr>
        <w:t xml:space="preserve">. </w:t>
      </w:r>
    </w:p>
    <w:p w:rsidR="0077704C" w:rsidRPr="004066F6" w:rsidRDefault="0077704C" w:rsidP="0077704C">
      <w:pPr>
        <w:rPr>
          <w:rFonts w:cs="Calibri"/>
          <w:b/>
          <w:sz w:val="23"/>
          <w:szCs w:val="23"/>
        </w:rPr>
      </w:pPr>
      <w:r w:rsidRPr="004066F6">
        <w:rPr>
          <w:rFonts w:cs="Calibri"/>
          <w:b/>
          <w:sz w:val="23"/>
          <w:szCs w:val="23"/>
        </w:rPr>
        <w:t xml:space="preserve">Commercial Property </w:t>
      </w:r>
    </w:p>
    <w:p w:rsidR="0077704C" w:rsidRPr="004066F6" w:rsidRDefault="0077704C" w:rsidP="0077704C">
      <w:pPr>
        <w:rPr>
          <w:rFonts w:cs="Calibri"/>
          <w:sz w:val="23"/>
          <w:szCs w:val="23"/>
        </w:rPr>
      </w:pPr>
      <w:r w:rsidRPr="004066F6">
        <w:rPr>
          <w:rFonts w:cs="Calibri"/>
          <w:sz w:val="23"/>
          <w:szCs w:val="23"/>
        </w:rPr>
        <w:t>Property is a lagging indicator; as it takes time for prices and market confidence to feed into the property sector.  With this in mind, rental yields are expected to continue to fall in 2012 and are unlikely to improve in 2013 but properties in prime location with good covenants will continue to remain firm. There remains an oversupply of commercial units in many areas, and the retail sector will continue to be hard hit. Reduced</w:t>
      </w:r>
      <w:r w:rsidR="0068202A">
        <w:rPr>
          <w:rFonts w:cs="Calibri"/>
          <w:sz w:val="23"/>
          <w:szCs w:val="23"/>
        </w:rPr>
        <w:t xml:space="preserve"> spending power by consumers is</w:t>
      </w:r>
      <w:r w:rsidRPr="004066F6">
        <w:rPr>
          <w:rFonts w:cs="Calibri"/>
          <w:sz w:val="23"/>
          <w:szCs w:val="23"/>
        </w:rPr>
        <w:t xml:space="preserve"> feeding into declining retail prices in most areas.</w:t>
      </w:r>
    </w:p>
    <w:p w:rsidR="00DC2795" w:rsidRPr="004066F6" w:rsidRDefault="0077704C" w:rsidP="0077704C">
      <w:pPr>
        <w:rPr>
          <w:rFonts w:cs="Calibri"/>
          <w:sz w:val="23"/>
          <w:szCs w:val="23"/>
        </w:rPr>
      </w:pPr>
      <w:r w:rsidRPr="004066F6">
        <w:rPr>
          <w:rFonts w:cs="Calibri"/>
          <w:sz w:val="23"/>
          <w:szCs w:val="23"/>
        </w:rPr>
        <w:t>This is borne by the present yields on property – which are:</w:t>
      </w:r>
      <w:r w:rsidR="00DC2795">
        <w:rPr>
          <w:rFonts w:cs="Calibri"/>
          <w:sz w:val="23"/>
          <w:szCs w:val="23"/>
        </w:rPr>
        <w:br/>
      </w:r>
    </w:p>
    <w:p w:rsidR="0077704C" w:rsidRPr="004066F6" w:rsidRDefault="0077704C" w:rsidP="0077704C">
      <w:pPr>
        <w:ind w:left="720" w:firstLine="720"/>
        <w:rPr>
          <w:rFonts w:cs="Calibri"/>
          <w:b/>
          <w:sz w:val="23"/>
          <w:szCs w:val="23"/>
        </w:rPr>
      </w:pPr>
      <w:r w:rsidRPr="004066F6">
        <w:rPr>
          <w:rFonts w:cs="Calibri"/>
          <w:b/>
          <w:sz w:val="23"/>
          <w:szCs w:val="23"/>
        </w:rPr>
        <w:t xml:space="preserve">Initial yield     </w:t>
      </w:r>
      <w:r w:rsidRPr="004066F6">
        <w:rPr>
          <w:rFonts w:cs="Calibri"/>
          <w:b/>
          <w:sz w:val="23"/>
          <w:szCs w:val="23"/>
        </w:rPr>
        <w:tab/>
        <w:t>20 Year Average</w:t>
      </w:r>
    </w:p>
    <w:p w:rsidR="0077704C" w:rsidRPr="004066F6" w:rsidRDefault="0077704C" w:rsidP="0077704C">
      <w:pPr>
        <w:rPr>
          <w:rFonts w:cs="Calibri"/>
          <w:sz w:val="23"/>
          <w:szCs w:val="23"/>
        </w:rPr>
      </w:pPr>
      <w:r w:rsidRPr="004066F6">
        <w:rPr>
          <w:rFonts w:cs="Calibri"/>
          <w:sz w:val="23"/>
          <w:szCs w:val="23"/>
        </w:rPr>
        <w:t xml:space="preserve">Retail  </w:t>
      </w:r>
      <w:r w:rsidRPr="004066F6">
        <w:rPr>
          <w:rFonts w:cs="Calibri"/>
          <w:sz w:val="23"/>
          <w:szCs w:val="23"/>
        </w:rPr>
        <w:tab/>
      </w:r>
      <w:r w:rsidRPr="004066F6">
        <w:rPr>
          <w:rFonts w:cs="Calibri"/>
          <w:sz w:val="23"/>
          <w:szCs w:val="23"/>
        </w:rPr>
        <w:tab/>
        <w:t xml:space="preserve">6.0%           </w:t>
      </w:r>
      <w:r w:rsidRPr="004066F6">
        <w:rPr>
          <w:rFonts w:cs="Calibri"/>
          <w:sz w:val="23"/>
          <w:szCs w:val="23"/>
        </w:rPr>
        <w:tab/>
        <w:t xml:space="preserve">6.3% </w:t>
      </w:r>
    </w:p>
    <w:p w:rsidR="0077704C" w:rsidRPr="004066F6" w:rsidRDefault="0077704C" w:rsidP="0077704C">
      <w:pPr>
        <w:rPr>
          <w:rFonts w:cs="Calibri"/>
          <w:sz w:val="23"/>
          <w:szCs w:val="23"/>
        </w:rPr>
      </w:pPr>
      <w:r w:rsidRPr="004066F6">
        <w:rPr>
          <w:rFonts w:cs="Calibri"/>
          <w:sz w:val="23"/>
          <w:szCs w:val="23"/>
        </w:rPr>
        <w:t xml:space="preserve">Office  </w:t>
      </w:r>
      <w:r w:rsidRPr="004066F6">
        <w:rPr>
          <w:rFonts w:cs="Calibri"/>
          <w:sz w:val="23"/>
          <w:szCs w:val="23"/>
        </w:rPr>
        <w:tab/>
      </w:r>
      <w:r w:rsidRPr="004066F6">
        <w:rPr>
          <w:rFonts w:cs="Calibri"/>
          <w:sz w:val="23"/>
          <w:szCs w:val="23"/>
        </w:rPr>
        <w:tab/>
        <w:t xml:space="preserve">6.0% </w:t>
      </w:r>
      <w:r w:rsidRPr="004066F6">
        <w:rPr>
          <w:rFonts w:cs="Calibri"/>
          <w:sz w:val="23"/>
          <w:szCs w:val="23"/>
        </w:rPr>
        <w:tab/>
      </w:r>
      <w:r w:rsidRPr="004066F6">
        <w:rPr>
          <w:rFonts w:cs="Calibri"/>
          <w:sz w:val="23"/>
          <w:szCs w:val="23"/>
        </w:rPr>
        <w:tab/>
        <w:t xml:space="preserve"> 7.3% </w:t>
      </w:r>
    </w:p>
    <w:p w:rsidR="0077704C" w:rsidRPr="004066F6" w:rsidRDefault="0077704C" w:rsidP="0077704C">
      <w:pPr>
        <w:rPr>
          <w:rFonts w:cs="Calibri"/>
          <w:sz w:val="23"/>
          <w:szCs w:val="23"/>
        </w:rPr>
      </w:pPr>
      <w:r w:rsidRPr="004066F6">
        <w:rPr>
          <w:rFonts w:cs="Calibri"/>
          <w:sz w:val="23"/>
          <w:szCs w:val="23"/>
        </w:rPr>
        <w:t xml:space="preserve">Industrial </w:t>
      </w:r>
      <w:r w:rsidRPr="004066F6">
        <w:rPr>
          <w:rFonts w:cs="Calibri"/>
          <w:sz w:val="23"/>
          <w:szCs w:val="23"/>
        </w:rPr>
        <w:tab/>
        <w:t xml:space="preserve"> 7.1% </w:t>
      </w:r>
      <w:r w:rsidRPr="004066F6">
        <w:rPr>
          <w:rFonts w:cs="Calibri"/>
          <w:sz w:val="23"/>
          <w:szCs w:val="23"/>
        </w:rPr>
        <w:tab/>
      </w:r>
      <w:r w:rsidRPr="004066F6">
        <w:rPr>
          <w:rFonts w:cs="Calibri"/>
          <w:sz w:val="23"/>
          <w:szCs w:val="23"/>
        </w:rPr>
        <w:tab/>
        <w:t xml:space="preserve"> 7.9% </w:t>
      </w:r>
    </w:p>
    <w:p w:rsidR="0077704C" w:rsidRPr="004066F6" w:rsidRDefault="0077704C" w:rsidP="0077704C">
      <w:pPr>
        <w:rPr>
          <w:rFonts w:cs="Calibri"/>
          <w:sz w:val="23"/>
          <w:szCs w:val="23"/>
        </w:rPr>
      </w:pPr>
      <w:r w:rsidRPr="004066F6">
        <w:rPr>
          <w:rFonts w:cs="Calibri"/>
          <w:sz w:val="23"/>
          <w:szCs w:val="23"/>
        </w:rPr>
        <w:t>Source:  IPD, FT, Property Data.  IPD and matching data as at end January 2012.</w:t>
      </w:r>
    </w:p>
    <w:p w:rsidR="00CB7D56" w:rsidRDefault="0077704C" w:rsidP="00DC2795">
      <w:pPr>
        <w:rPr>
          <w:rFonts w:cs="Calibri"/>
          <w:sz w:val="23"/>
          <w:szCs w:val="23"/>
        </w:rPr>
      </w:pPr>
      <w:r w:rsidRPr="004066F6">
        <w:rPr>
          <w:rFonts w:cs="Calibri"/>
          <w:sz w:val="23"/>
          <w:szCs w:val="23"/>
        </w:rPr>
        <w:t xml:space="preserve">Pension Schemes Online contains a rolling list of all current and property auctions over the next 6 months; together with property auction results plus direct access to commercial mortgage firms. </w:t>
      </w:r>
      <w:r w:rsidR="0011057B">
        <w:rPr>
          <w:rFonts w:cs="Calibri"/>
          <w:sz w:val="23"/>
          <w:szCs w:val="23"/>
        </w:rPr>
        <w:t>The website is being finalised and will be available shortly</w:t>
      </w:r>
    </w:p>
    <w:p w:rsidR="00C575E9" w:rsidRDefault="00C575E9" w:rsidP="00DC2795">
      <w:pPr>
        <w:rPr>
          <w:rFonts w:cs="Calibri"/>
          <w:sz w:val="23"/>
          <w:szCs w:val="23"/>
        </w:rPr>
      </w:pPr>
    </w:p>
    <w:p w:rsidR="00D25B8B" w:rsidRDefault="00D25B8B" w:rsidP="00DC2795">
      <w:pPr>
        <w:rPr>
          <w:rFonts w:cs="Calibri"/>
          <w:sz w:val="23"/>
          <w:szCs w:val="23"/>
        </w:rPr>
      </w:pPr>
    </w:p>
    <w:p w:rsidR="00444E6B" w:rsidRDefault="00444E6B" w:rsidP="00DC2795">
      <w:pPr>
        <w:rPr>
          <w:rFonts w:cs="Calibri"/>
          <w:sz w:val="23"/>
          <w:szCs w:val="23"/>
        </w:rPr>
      </w:pPr>
    </w:p>
    <w:p w:rsidR="00D25B8B" w:rsidRDefault="00D25B8B" w:rsidP="00DC2795">
      <w:pPr>
        <w:rPr>
          <w:rFonts w:cs="Calibri"/>
          <w:sz w:val="23"/>
          <w:szCs w:val="23"/>
        </w:rPr>
      </w:pPr>
    </w:p>
    <w:p w:rsidR="00CB7D56" w:rsidRPr="00C575E9" w:rsidRDefault="00CB7D56" w:rsidP="00CB7D56">
      <w:pPr>
        <w:pStyle w:val="Title"/>
        <w:rPr>
          <w:rFonts w:ascii="Calibri" w:hAnsi="Calibri" w:cs="Calibri"/>
          <w:sz w:val="23"/>
          <w:szCs w:val="23"/>
          <w:lang w:val="en-GB"/>
        </w:rPr>
      </w:pPr>
    </w:p>
    <w:p w:rsidR="00DC2795" w:rsidRPr="00445D60" w:rsidRDefault="008836C9" w:rsidP="00DC2795">
      <w:pPr>
        <w:pStyle w:val="Subtitle"/>
        <w:numPr>
          <w:ilvl w:val="0"/>
          <w:numId w:val="6"/>
        </w:numPr>
        <w:rPr>
          <w:rFonts w:ascii="Calibri" w:hAnsi="Calibri" w:cs="Calibri"/>
          <w:i w:val="0"/>
          <w:color w:val="548DD4"/>
          <w:lang w:val="en-GB"/>
        </w:rPr>
      </w:pPr>
      <w:r w:rsidRPr="00445D60">
        <w:rPr>
          <w:rFonts w:ascii="Calibri" w:hAnsi="Calibri" w:cs="Calibri"/>
          <w:i w:val="0"/>
          <w:color w:val="548DD4"/>
          <w:lang w:val="en-GB"/>
        </w:rPr>
        <w:t>Newsletter</w:t>
      </w:r>
    </w:p>
    <w:p w:rsidR="00ED06AB" w:rsidRDefault="00ED06AB" w:rsidP="00ED06AB">
      <w:pPr>
        <w:autoSpaceDE w:val="0"/>
        <w:autoSpaceDN w:val="0"/>
        <w:adjustRightInd w:val="0"/>
        <w:spacing w:after="0" w:line="240" w:lineRule="auto"/>
        <w:rPr>
          <w:rFonts w:cs="Calibri"/>
          <w:sz w:val="23"/>
          <w:szCs w:val="23"/>
        </w:rPr>
      </w:pPr>
      <w:r w:rsidRPr="00ED06AB">
        <w:rPr>
          <w:rFonts w:cs="Calibri"/>
          <w:sz w:val="23"/>
          <w:szCs w:val="23"/>
        </w:rPr>
        <w:t xml:space="preserve">A SSAS is a powerful tax planning tool which can be used alongside your company to help save thousands of pounds in tax. </w:t>
      </w:r>
    </w:p>
    <w:p w:rsidR="00ED06AB" w:rsidRDefault="00ED06AB" w:rsidP="00ED06AB">
      <w:pPr>
        <w:autoSpaceDE w:val="0"/>
        <w:autoSpaceDN w:val="0"/>
        <w:adjustRightInd w:val="0"/>
        <w:spacing w:after="0" w:line="240" w:lineRule="auto"/>
        <w:rPr>
          <w:rFonts w:cs="Calibri"/>
          <w:sz w:val="23"/>
          <w:szCs w:val="23"/>
        </w:rPr>
      </w:pPr>
    </w:p>
    <w:p w:rsidR="00ED06AB" w:rsidRDefault="00ED06AB" w:rsidP="00ED06AB">
      <w:pPr>
        <w:autoSpaceDE w:val="0"/>
        <w:autoSpaceDN w:val="0"/>
        <w:adjustRightInd w:val="0"/>
        <w:spacing w:after="0" w:line="240" w:lineRule="auto"/>
        <w:rPr>
          <w:rFonts w:cs="Calibri"/>
          <w:sz w:val="23"/>
          <w:szCs w:val="23"/>
        </w:rPr>
      </w:pPr>
      <w:r w:rsidRPr="00ED06AB">
        <w:rPr>
          <w:rFonts w:cs="Calibri"/>
          <w:sz w:val="23"/>
          <w:szCs w:val="23"/>
        </w:rPr>
        <w:t>Pension Practitioner.Com not only administer</w:t>
      </w:r>
      <w:r w:rsidR="0011057B">
        <w:rPr>
          <w:rFonts w:cs="Calibri"/>
          <w:sz w:val="23"/>
          <w:szCs w:val="23"/>
        </w:rPr>
        <w:t>s</w:t>
      </w:r>
      <w:r w:rsidRPr="00ED06AB">
        <w:rPr>
          <w:rFonts w:cs="Calibri"/>
          <w:sz w:val="23"/>
          <w:szCs w:val="23"/>
        </w:rPr>
        <w:t xml:space="preserve"> pension schemes but we also undertake a variety of special projects which we can tailor to your needs. The following are examples of bespoke work carried out for clients that could potentially also help you and your business too: </w:t>
      </w:r>
    </w:p>
    <w:p w:rsidR="00ED06AB" w:rsidRPr="00ED06AB" w:rsidRDefault="00ED06AB" w:rsidP="00ED06AB">
      <w:pPr>
        <w:autoSpaceDE w:val="0"/>
        <w:autoSpaceDN w:val="0"/>
        <w:adjustRightInd w:val="0"/>
        <w:spacing w:after="0" w:line="240" w:lineRule="auto"/>
        <w:rPr>
          <w:rFonts w:cs="Calibri"/>
          <w:sz w:val="23"/>
          <w:szCs w:val="23"/>
        </w:rPr>
      </w:pPr>
    </w:p>
    <w:p w:rsidR="00ED06AB" w:rsidRDefault="00ED06AB" w:rsidP="00ED06AB">
      <w:pPr>
        <w:numPr>
          <w:ilvl w:val="0"/>
          <w:numId w:val="8"/>
        </w:numPr>
        <w:autoSpaceDE w:val="0"/>
        <w:autoSpaceDN w:val="0"/>
        <w:adjustRightInd w:val="0"/>
        <w:spacing w:after="0" w:line="240" w:lineRule="auto"/>
        <w:rPr>
          <w:rFonts w:cs="Calibri"/>
          <w:sz w:val="23"/>
          <w:szCs w:val="23"/>
        </w:rPr>
      </w:pPr>
      <w:r w:rsidRPr="00ED06AB">
        <w:rPr>
          <w:rFonts w:cs="Calibri"/>
          <w:sz w:val="23"/>
          <w:szCs w:val="23"/>
        </w:rPr>
        <w:t xml:space="preserve">We have drafted documents ensuring large employer pension contributions above the annual allowance of £50,000 receive tax relief. </w:t>
      </w:r>
    </w:p>
    <w:p w:rsidR="00ED06AB" w:rsidRPr="00ED06AB" w:rsidRDefault="00ED06AB" w:rsidP="00ED06AB">
      <w:pPr>
        <w:autoSpaceDE w:val="0"/>
        <w:autoSpaceDN w:val="0"/>
        <w:adjustRightInd w:val="0"/>
        <w:spacing w:after="0" w:line="240" w:lineRule="auto"/>
        <w:rPr>
          <w:rFonts w:cs="Calibri"/>
          <w:sz w:val="23"/>
          <w:szCs w:val="23"/>
        </w:rPr>
      </w:pPr>
    </w:p>
    <w:p w:rsidR="00ED06AB" w:rsidRDefault="00ED06AB" w:rsidP="00ED06AB">
      <w:pPr>
        <w:numPr>
          <w:ilvl w:val="0"/>
          <w:numId w:val="8"/>
        </w:numPr>
        <w:autoSpaceDE w:val="0"/>
        <w:autoSpaceDN w:val="0"/>
        <w:adjustRightInd w:val="0"/>
        <w:spacing w:after="0" w:line="240" w:lineRule="auto"/>
        <w:rPr>
          <w:rFonts w:cs="Calibri"/>
          <w:sz w:val="23"/>
          <w:szCs w:val="23"/>
        </w:rPr>
      </w:pPr>
      <w:r w:rsidRPr="00ED06AB">
        <w:rPr>
          <w:rFonts w:cs="Calibri"/>
          <w:sz w:val="23"/>
          <w:szCs w:val="23"/>
        </w:rPr>
        <w:t xml:space="preserve">If an individual or business owns an asset, it may be contributed into the pension scheme and tax relief can be obtained on the payment. These contributions are classed as in-specie transfers. For example, a company may transfer part or all of a commercial property (even a mortgaged premises) to your SSAS and may receive corporation tax relief on the transfer. This solution is a very tax efficient way of contributing into a pension scheme, whilst keeping cash in the business. </w:t>
      </w:r>
    </w:p>
    <w:p w:rsidR="00ED06AB" w:rsidRPr="00ED06AB" w:rsidRDefault="00ED06AB" w:rsidP="00ED06AB">
      <w:pPr>
        <w:autoSpaceDE w:val="0"/>
        <w:autoSpaceDN w:val="0"/>
        <w:adjustRightInd w:val="0"/>
        <w:spacing w:after="0" w:line="240" w:lineRule="auto"/>
        <w:rPr>
          <w:rFonts w:cs="Calibri"/>
          <w:sz w:val="23"/>
          <w:szCs w:val="23"/>
        </w:rPr>
      </w:pPr>
    </w:p>
    <w:p w:rsidR="00ED06AB" w:rsidRDefault="00DB0B7E" w:rsidP="00ED06AB">
      <w:pPr>
        <w:numPr>
          <w:ilvl w:val="0"/>
          <w:numId w:val="8"/>
        </w:numPr>
        <w:autoSpaceDE w:val="0"/>
        <w:autoSpaceDN w:val="0"/>
        <w:adjustRightInd w:val="0"/>
        <w:spacing w:after="0" w:line="240" w:lineRule="auto"/>
        <w:rPr>
          <w:rFonts w:cs="Calibri"/>
          <w:sz w:val="23"/>
          <w:szCs w:val="23"/>
        </w:rPr>
      </w:pPr>
      <w:r>
        <w:rPr>
          <w:rFonts w:cs="Calibri"/>
          <w:sz w:val="23"/>
          <w:szCs w:val="23"/>
        </w:rPr>
        <w:t>Set</w:t>
      </w:r>
      <w:r w:rsidR="00ED06AB" w:rsidRPr="00ED06AB">
        <w:rPr>
          <w:rFonts w:cs="Calibri"/>
          <w:sz w:val="23"/>
          <w:szCs w:val="23"/>
        </w:rPr>
        <w:t xml:space="preserve"> up staff pension schemes (full occupational pension schemes) where there are more than 11 employees. A SSAS is limited to 11 members so alternative arrangements have to be considered with more than this number. </w:t>
      </w:r>
    </w:p>
    <w:p w:rsidR="00ED06AB" w:rsidRPr="00ED06AB" w:rsidRDefault="00ED06AB" w:rsidP="00ED06AB">
      <w:pPr>
        <w:autoSpaceDE w:val="0"/>
        <w:autoSpaceDN w:val="0"/>
        <w:adjustRightInd w:val="0"/>
        <w:spacing w:after="0" w:line="240" w:lineRule="auto"/>
        <w:rPr>
          <w:rFonts w:cs="Calibri"/>
          <w:sz w:val="23"/>
          <w:szCs w:val="23"/>
        </w:rPr>
      </w:pPr>
    </w:p>
    <w:p w:rsidR="00ED06AB" w:rsidRDefault="00DB0B7E" w:rsidP="00DC2795">
      <w:pPr>
        <w:numPr>
          <w:ilvl w:val="0"/>
          <w:numId w:val="8"/>
        </w:numPr>
        <w:autoSpaceDE w:val="0"/>
        <w:autoSpaceDN w:val="0"/>
        <w:adjustRightInd w:val="0"/>
        <w:spacing w:after="0" w:line="240" w:lineRule="auto"/>
        <w:rPr>
          <w:rFonts w:cs="Calibri"/>
          <w:sz w:val="23"/>
          <w:szCs w:val="23"/>
        </w:rPr>
      </w:pPr>
      <w:r>
        <w:rPr>
          <w:rFonts w:cs="Calibri"/>
          <w:sz w:val="23"/>
          <w:szCs w:val="23"/>
        </w:rPr>
        <w:t>U</w:t>
      </w:r>
      <w:r w:rsidR="00ED06AB" w:rsidRPr="00ED06AB">
        <w:rPr>
          <w:rFonts w:cs="Calibri"/>
          <w:sz w:val="23"/>
          <w:szCs w:val="23"/>
        </w:rPr>
        <w:t xml:space="preserve">nique scheme rules and configured amendments to trust documents depending on our client requirements. </w:t>
      </w:r>
    </w:p>
    <w:p w:rsidR="00ED06AB" w:rsidRPr="00ED06AB" w:rsidRDefault="00ED06AB" w:rsidP="00ED06AB">
      <w:pPr>
        <w:autoSpaceDE w:val="0"/>
        <w:autoSpaceDN w:val="0"/>
        <w:adjustRightInd w:val="0"/>
        <w:spacing w:after="0" w:line="240" w:lineRule="auto"/>
        <w:rPr>
          <w:rFonts w:cs="Calibri"/>
          <w:sz w:val="23"/>
          <w:szCs w:val="23"/>
        </w:rPr>
      </w:pPr>
    </w:p>
    <w:p w:rsidR="00ED06AB" w:rsidRDefault="00DB0B7E" w:rsidP="00DC2795">
      <w:pPr>
        <w:numPr>
          <w:ilvl w:val="0"/>
          <w:numId w:val="8"/>
        </w:numPr>
        <w:autoSpaceDE w:val="0"/>
        <w:autoSpaceDN w:val="0"/>
        <w:adjustRightInd w:val="0"/>
        <w:spacing w:after="0" w:line="240" w:lineRule="auto"/>
        <w:rPr>
          <w:rFonts w:cs="Calibri"/>
          <w:sz w:val="23"/>
          <w:szCs w:val="23"/>
        </w:rPr>
      </w:pPr>
      <w:r>
        <w:rPr>
          <w:rFonts w:cs="Calibri"/>
          <w:sz w:val="23"/>
          <w:szCs w:val="23"/>
        </w:rPr>
        <w:t>Investment</w:t>
      </w:r>
      <w:r w:rsidR="00ED06AB" w:rsidRPr="00ED06AB">
        <w:rPr>
          <w:rFonts w:cs="Calibri"/>
          <w:sz w:val="23"/>
          <w:szCs w:val="23"/>
        </w:rPr>
        <w:t xml:space="preserve"> in copyright/trademarks and other intellectual property. Provided that the intellectual property does not have a predictive lifespan of less than 51 years, it may be an acceptable investment by the SSAS. For instance, a royalty licence can be transferred or purchased by the SSAS from your company with any future royalty payments reducing your business corporation tax bill. </w:t>
      </w:r>
    </w:p>
    <w:p w:rsidR="00DC2795" w:rsidRDefault="00DC2795" w:rsidP="00ED06AB">
      <w:pPr>
        <w:pStyle w:val="ListParagraph"/>
        <w:ind w:left="0"/>
        <w:rPr>
          <w:rFonts w:cs="Calibri"/>
          <w:sz w:val="23"/>
          <w:szCs w:val="23"/>
        </w:rPr>
      </w:pPr>
    </w:p>
    <w:p w:rsidR="00702F1F" w:rsidRDefault="00702F1F" w:rsidP="00ED06AB">
      <w:pPr>
        <w:pStyle w:val="ListParagraph"/>
        <w:ind w:left="0"/>
        <w:rPr>
          <w:rFonts w:cs="Calibri"/>
          <w:sz w:val="23"/>
          <w:szCs w:val="23"/>
        </w:rPr>
      </w:pPr>
    </w:p>
    <w:p w:rsidR="00702F1F" w:rsidRDefault="00702F1F" w:rsidP="00ED06AB">
      <w:pPr>
        <w:pStyle w:val="ListParagraph"/>
        <w:ind w:left="0"/>
        <w:rPr>
          <w:rFonts w:cs="Calibri"/>
          <w:sz w:val="23"/>
          <w:szCs w:val="23"/>
        </w:rPr>
      </w:pPr>
    </w:p>
    <w:p w:rsidR="00702F1F" w:rsidRDefault="00702F1F" w:rsidP="00ED06AB">
      <w:pPr>
        <w:pStyle w:val="ListParagraph"/>
        <w:ind w:left="0"/>
        <w:rPr>
          <w:rFonts w:cs="Calibri"/>
          <w:sz w:val="23"/>
          <w:szCs w:val="23"/>
        </w:rPr>
      </w:pPr>
    </w:p>
    <w:p w:rsidR="00702F1F" w:rsidRDefault="00702F1F" w:rsidP="00ED06AB">
      <w:pPr>
        <w:pStyle w:val="ListParagraph"/>
        <w:ind w:left="0"/>
        <w:rPr>
          <w:rFonts w:cs="Calibri"/>
          <w:sz w:val="23"/>
          <w:szCs w:val="23"/>
        </w:rPr>
      </w:pPr>
    </w:p>
    <w:p w:rsidR="00702F1F" w:rsidRDefault="00702F1F" w:rsidP="00ED06AB">
      <w:pPr>
        <w:pStyle w:val="ListParagraph"/>
        <w:ind w:left="0"/>
        <w:rPr>
          <w:rFonts w:cs="Calibri"/>
          <w:sz w:val="23"/>
          <w:szCs w:val="23"/>
        </w:rPr>
      </w:pPr>
    </w:p>
    <w:p w:rsidR="00702F1F" w:rsidRDefault="00702F1F" w:rsidP="00ED06AB">
      <w:pPr>
        <w:pStyle w:val="ListParagraph"/>
        <w:ind w:left="0"/>
        <w:rPr>
          <w:rFonts w:cs="Calibri"/>
          <w:sz w:val="23"/>
          <w:szCs w:val="23"/>
        </w:rPr>
      </w:pPr>
    </w:p>
    <w:p w:rsidR="00D25B8B" w:rsidRDefault="00D25B8B" w:rsidP="00ED06AB">
      <w:pPr>
        <w:pStyle w:val="ListParagraph"/>
        <w:ind w:left="0"/>
        <w:rPr>
          <w:rFonts w:cs="Calibri"/>
          <w:sz w:val="23"/>
          <w:szCs w:val="23"/>
        </w:rPr>
      </w:pPr>
    </w:p>
    <w:p w:rsidR="00D25B8B" w:rsidRDefault="00D25B8B" w:rsidP="00ED06AB">
      <w:pPr>
        <w:pStyle w:val="ListParagraph"/>
        <w:ind w:left="0"/>
        <w:rPr>
          <w:rFonts w:cs="Calibri"/>
          <w:sz w:val="23"/>
          <w:szCs w:val="23"/>
        </w:rPr>
      </w:pPr>
    </w:p>
    <w:p w:rsidR="00702F1F" w:rsidRDefault="00702F1F" w:rsidP="00ED06AB">
      <w:pPr>
        <w:pStyle w:val="ListParagraph"/>
        <w:ind w:left="0"/>
        <w:rPr>
          <w:rFonts w:cs="Calibri"/>
          <w:sz w:val="23"/>
          <w:szCs w:val="23"/>
        </w:rPr>
      </w:pPr>
    </w:p>
    <w:p w:rsidR="009F0FA0" w:rsidRDefault="009F0FA0" w:rsidP="00ED06AB">
      <w:pPr>
        <w:pStyle w:val="ListParagraph"/>
        <w:ind w:left="0"/>
        <w:rPr>
          <w:rFonts w:cs="Calibri"/>
          <w:sz w:val="23"/>
          <w:szCs w:val="23"/>
        </w:rPr>
      </w:pPr>
    </w:p>
    <w:p w:rsidR="00702F1F" w:rsidRDefault="00702F1F" w:rsidP="00ED06AB">
      <w:pPr>
        <w:pStyle w:val="ListParagraph"/>
        <w:ind w:left="0"/>
        <w:rPr>
          <w:rFonts w:cs="Calibri"/>
          <w:sz w:val="23"/>
          <w:szCs w:val="23"/>
        </w:rPr>
      </w:pPr>
    </w:p>
    <w:p w:rsidR="00702F1F" w:rsidRDefault="00702F1F" w:rsidP="00ED06AB">
      <w:pPr>
        <w:pStyle w:val="ListParagraph"/>
        <w:ind w:left="0"/>
        <w:rPr>
          <w:rFonts w:cs="Calibri"/>
          <w:sz w:val="23"/>
          <w:szCs w:val="23"/>
        </w:rPr>
      </w:pPr>
    </w:p>
    <w:p w:rsidR="00702F1F" w:rsidRDefault="00702F1F" w:rsidP="00ED06AB">
      <w:pPr>
        <w:pStyle w:val="ListParagraph"/>
        <w:ind w:left="0"/>
        <w:rPr>
          <w:rFonts w:cs="Calibri"/>
          <w:sz w:val="23"/>
          <w:szCs w:val="23"/>
        </w:rPr>
      </w:pPr>
    </w:p>
    <w:p w:rsidR="00702F1F" w:rsidRPr="00DC2795" w:rsidRDefault="00702F1F" w:rsidP="00702F1F">
      <w:pPr>
        <w:pStyle w:val="Title"/>
        <w:rPr>
          <w:rFonts w:ascii="Calibri" w:hAnsi="Calibri" w:cs="Calibri"/>
          <w:sz w:val="23"/>
          <w:szCs w:val="23"/>
          <w:lang w:val="en-GB"/>
        </w:rPr>
      </w:pPr>
    </w:p>
    <w:p w:rsidR="00702F1F" w:rsidRPr="00445D60" w:rsidRDefault="00702F1F" w:rsidP="00702F1F">
      <w:pPr>
        <w:pStyle w:val="Subtitle"/>
        <w:numPr>
          <w:ilvl w:val="0"/>
          <w:numId w:val="6"/>
        </w:numPr>
        <w:rPr>
          <w:rStyle w:val="IntenseEmphasis"/>
          <w:rFonts w:ascii="Calibri" w:hAnsi="Calibri" w:cs="Calibri"/>
          <w:b w:val="0"/>
          <w:i/>
          <w:color w:val="548DD4"/>
        </w:rPr>
      </w:pPr>
      <w:r w:rsidRPr="00445D60">
        <w:rPr>
          <w:rFonts w:ascii="Calibri" w:hAnsi="Calibri" w:cs="Calibri"/>
          <w:i w:val="0"/>
          <w:color w:val="548DD4"/>
        </w:rPr>
        <w:t>Benefits Statement</w:t>
      </w:r>
    </w:p>
    <w:p w:rsidR="001215BA" w:rsidRPr="004066F6" w:rsidRDefault="001215BA" w:rsidP="001215BA">
      <w:pPr>
        <w:pStyle w:val="ListParagraph"/>
        <w:ind w:left="0"/>
        <w:rPr>
          <w:rFonts w:cs="Calibri"/>
          <w:b/>
          <w:sz w:val="23"/>
          <w:szCs w:val="23"/>
        </w:rPr>
      </w:pPr>
      <w:r w:rsidRPr="004066F6">
        <w:rPr>
          <w:rFonts w:cs="Calibri"/>
          <w:b/>
          <w:sz w:val="23"/>
          <w:szCs w:val="23"/>
        </w:rPr>
        <w:t xml:space="preserve">Retirement Benefits Statement for </w:t>
      </w:r>
    </w:p>
    <w:p w:rsidR="001215BA" w:rsidRPr="004066F6" w:rsidRDefault="007331A6" w:rsidP="001215BA">
      <w:pPr>
        <w:pStyle w:val="ListParagraph"/>
        <w:ind w:left="0"/>
        <w:rPr>
          <w:rFonts w:cs="Calibri"/>
          <w:sz w:val="23"/>
          <w:szCs w:val="23"/>
        </w:rPr>
      </w:pPr>
      <w:r>
        <w:rPr>
          <w:rFonts w:cs="Calibri"/>
          <w:b/>
          <w:sz w:val="23"/>
          <w:szCs w:val="23"/>
        </w:rPr>
        <w:t xml:space="preserve">Mr </w:t>
      </w:r>
      <w:r w:rsidR="001E2401">
        <w:rPr>
          <w:rFonts w:cs="Calibri"/>
          <w:b/>
          <w:sz w:val="23"/>
          <w:szCs w:val="23"/>
        </w:rPr>
        <w:t>Robert Levin</w:t>
      </w:r>
      <w:r w:rsidR="001E2401" w:rsidRPr="004066F6">
        <w:rPr>
          <w:rFonts w:cs="Calibri"/>
          <w:sz w:val="23"/>
          <w:szCs w:val="23"/>
        </w:rPr>
        <w:t xml:space="preserve"> </w:t>
      </w:r>
      <w:r w:rsidR="001215BA" w:rsidRPr="004066F6">
        <w:rPr>
          <w:rFonts w:cs="Calibri"/>
          <w:sz w:val="23"/>
          <w:szCs w:val="23"/>
        </w:rPr>
        <w:br/>
      </w:r>
      <w:r w:rsidR="001215BA" w:rsidRPr="004066F6">
        <w:rPr>
          <w:rFonts w:cs="Calibri"/>
          <w:sz w:val="23"/>
          <w:szCs w:val="23"/>
        </w:rPr>
        <w:br/>
        <w:t>In the event of your death before taking benefits from the scheme, as at 5 April 2012 your beneficiaries will be entitled to receive £</w:t>
      </w:r>
      <w:r w:rsidR="001E2401">
        <w:rPr>
          <w:rFonts w:cs="Calibri"/>
          <w:sz w:val="23"/>
          <w:szCs w:val="23"/>
        </w:rPr>
        <w:t>289,970</w:t>
      </w:r>
      <w:r w:rsidR="001215BA">
        <w:rPr>
          <w:rFonts w:cs="Calibri"/>
          <w:sz w:val="23"/>
          <w:szCs w:val="23"/>
        </w:rPr>
        <w:t xml:space="preserve"> </w:t>
      </w:r>
      <w:r w:rsidR="001215BA" w:rsidRPr="004066F6">
        <w:rPr>
          <w:rFonts w:cs="Calibri"/>
          <w:sz w:val="23"/>
          <w:szCs w:val="23"/>
        </w:rPr>
        <w:t>tax free from the assets of the scheme.</w:t>
      </w:r>
    </w:p>
    <w:p w:rsidR="001215BA" w:rsidRPr="004066F6" w:rsidRDefault="001215BA" w:rsidP="001215BA">
      <w:pPr>
        <w:pStyle w:val="ListParagraph"/>
        <w:ind w:left="0"/>
        <w:rPr>
          <w:rFonts w:cs="Calibri"/>
          <w:sz w:val="23"/>
          <w:szCs w:val="23"/>
        </w:rPr>
      </w:pPr>
    </w:p>
    <w:p w:rsidR="001215BA" w:rsidRPr="004066F6" w:rsidRDefault="001215BA" w:rsidP="001215BA">
      <w:pPr>
        <w:pStyle w:val="ListParagraph"/>
        <w:ind w:left="0"/>
        <w:rPr>
          <w:rFonts w:cs="Calibri"/>
          <w:sz w:val="23"/>
          <w:szCs w:val="23"/>
        </w:rPr>
      </w:pPr>
      <w:r w:rsidRPr="004066F6">
        <w:rPr>
          <w:rFonts w:cs="Calibri"/>
          <w:sz w:val="23"/>
          <w:szCs w:val="23"/>
        </w:rPr>
        <w:t>In the event that you elected to take benefits from the scheme as at age 6</w:t>
      </w:r>
      <w:r>
        <w:rPr>
          <w:rFonts w:cs="Calibri"/>
          <w:sz w:val="23"/>
          <w:szCs w:val="23"/>
        </w:rPr>
        <w:t>5</w:t>
      </w:r>
      <w:r w:rsidRPr="004066F6">
        <w:rPr>
          <w:rFonts w:cs="Calibri"/>
          <w:sz w:val="23"/>
          <w:szCs w:val="23"/>
        </w:rPr>
        <w:t xml:space="preserve">, you could draw a </w:t>
      </w:r>
    </w:p>
    <w:p w:rsidR="001215BA" w:rsidRPr="004066F6" w:rsidRDefault="001215BA" w:rsidP="001215BA">
      <w:pPr>
        <w:pStyle w:val="ListParagraph"/>
        <w:ind w:left="0"/>
        <w:rPr>
          <w:rStyle w:val="Strong"/>
          <w:rFonts w:cs="Calibri"/>
          <w:b w:val="0"/>
          <w:color w:val="000000"/>
          <w:sz w:val="23"/>
          <w:szCs w:val="23"/>
        </w:rPr>
      </w:pPr>
      <w:proofErr w:type="gramStart"/>
      <w:r w:rsidRPr="004066F6">
        <w:rPr>
          <w:rStyle w:val="apple-style-span"/>
          <w:rFonts w:cs="Calibri"/>
          <w:color w:val="000000"/>
          <w:sz w:val="23"/>
          <w:szCs w:val="23"/>
        </w:rPr>
        <w:t>tax-free</w:t>
      </w:r>
      <w:proofErr w:type="gramEnd"/>
      <w:r w:rsidRPr="004066F6">
        <w:rPr>
          <w:rStyle w:val="apple-style-span"/>
          <w:rFonts w:cs="Calibri"/>
          <w:color w:val="000000"/>
          <w:sz w:val="23"/>
          <w:szCs w:val="23"/>
        </w:rPr>
        <w:t xml:space="preserve"> lump sum of </w:t>
      </w:r>
      <w:r w:rsidRPr="004066F6">
        <w:rPr>
          <w:rStyle w:val="Strong"/>
          <w:rFonts w:cs="Calibri"/>
          <w:b w:val="0"/>
          <w:color w:val="000000"/>
          <w:sz w:val="23"/>
          <w:szCs w:val="23"/>
        </w:rPr>
        <w:t>£</w:t>
      </w:r>
      <w:r w:rsidR="001E2401">
        <w:rPr>
          <w:rStyle w:val="Strong"/>
          <w:rFonts w:cs="Calibri"/>
          <w:b w:val="0"/>
          <w:color w:val="000000"/>
          <w:sz w:val="23"/>
          <w:szCs w:val="23"/>
        </w:rPr>
        <w:t>95,269</w:t>
      </w:r>
      <w:r w:rsidRPr="004066F6">
        <w:rPr>
          <w:rStyle w:val="Strong"/>
          <w:rFonts w:cs="Calibri"/>
          <w:b w:val="0"/>
          <w:color w:val="000000"/>
          <w:sz w:val="23"/>
          <w:szCs w:val="23"/>
        </w:rPr>
        <w:t>.</w:t>
      </w:r>
    </w:p>
    <w:p w:rsidR="001215BA" w:rsidRPr="004066F6" w:rsidRDefault="001215BA" w:rsidP="001215BA">
      <w:pPr>
        <w:pStyle w:val="ListParagraph"/>
        <w:ind w:left="0"/>
        <w:rPr>
          <w:rStyle w:val="Strong"/>
          <w:rFonts w:cs="Calibri"/>
          <w:b w:val="0"/>
          <w:color w:val="000000"/>
          <w:sz w:val="23"/>
          <w:szCs w:val="23"/>
        </w:rPr>
      </w:pPr>
    </w:p>
    <w:p w:rsidR="001215BA" w:rsidRDefault="001215BA" w:rsidP="001215BA">
      <w:pPr>
        <w:pStyle w:val="ListParagraph"/>
        <w:ind w:left="0"/>
        <w:rPr>
          <w:rStyle w:val="Strong"/>
          <w:rFonts w:cs="Calibri"/>
          <w:b w:val="0"/>
          <w:color w:val="000000"/>
          <w:sz w:val="23"/>
          <w:szCs w:val="23"/>
        </w:rPr>
      </w:pPr>
      <w:r w:rsidRPr="004066F6">
        <w:rPr>
          <w:rStyle w:val="Strong"/>
          <w:rFonts w:cs="Calibri"/>
          <w:b w:val="0"/>
          <w:color w:val="000000"/>
          <w:sz w:val="23"/>
          <w:szCs w:val="23"/>
        </w:rPr>
        <w:t>The balance of the fund must be used to provide you with a pension which is taxed as earned income. The pension amount you may draw could be £</w:t>
      </w:r>
      <w:r w:rsidR="001E2401">
        <w:rPr>
          <w:rStyle w:val="Strong"/>
          <w:rFonts w:cs="Calibri"/>
          <w:b w:val="0"/>
          <w:color w:val="000000"/>
          <w:sz w:val="23"/>
          <w:szCs w:val="23"/>
        </w:rPr>
        <w:t>17,012</w:t>
      </w:r>
      <w:r w:rsidR="00A31D79">
        <w:rPr>
          <w:rStyle w:val="Strong"/>
          <w:rFonts w:cs="Calibri"/>
          <w:b w:val="0"/>
          <w:color w:val="000000"/>
          <w:sz w:val="23"/>
          <w:szCs w:val="23"/>
        </w:rPr>
        <w:t xml:space="preserve"> </w:t>
      </w:r>
      <w:r w:rsidRPr="004066F6">
        <w:rPr>
          <w:rStyle w:val="Strong"/>
          <w:rFonts w:cs="Calibri"/>
          <w:b w:val="0"/>
          <w:color w:val="000000"/>
          <w:sz w:val="23"/>
          <w:szCs w:val="23"/>
        </w:rPr>
        <w:t xml:space="preserve">p.a. </w:t>
      </w:r>
    </w:p>
    <w:p w:rsidR="001215BA" w:rsidRDefault="001215BA" w:rsidP="001215BA">
      <w:pPr>
        <w:pStyle w:val="ListParagraph"/>
        <w:ind w:left="0"/>
        <w:rPr>
          <w:rStyle w:val="Strong"/>
          <w:rFonts w:cs="Calibri"/>
          <w:b w:val="0"/>
          <w:color w:val="000000"/>
          <w:sz w:val="23"/>
          <w:szCs w:val="23"/>
        </w:rPr>
      </w:pPr>
    </w:p>
    <w:p w:rsidR="001215BA" w:rsidRPr="004066F6" w:rsidRDefault="001215BA" w:rsidP="001215BA">
      <w:pPr>
        <w:pStyle w:val="ListParagraph"/>
        <w:ind w:left="0"/>
        <w:rPr>
          <w:rStyle w:val="Strong"/>
          <w:rFonts w:cs="Calibri"/>
          <w:b w:val="0"/>
          <w:color w:val="000000"/>
          <w:sz w:val="23"/>
          <w:szCs w:val="23"/>
        </w:rPr>
      </w:pPr>
      <w:r w:rsidRPr="00187F32">
        <w:rPr>
          <w:rStyle w:val="Strong"/>
          <w:rFonts w:cs="Calibri"/>
          <w:b w:val="0"/>
          <w:color w:val="000000"/>
          <w:sz w:val="23"/>
          <w:szCs w:val="23"/>
        </w:rPr>
        <w:t>Tax free lump sum and pension income values are based on a fu</w:t>
      </w:r>
      <w:r w:rsidR="007145E9">
        <w:rPr>
          <w:rStyle w:val="Strong"/>
          <w:rFonts w:cs="Calibri"/>
          <w:b w:val="0"/>
          <w:color w:val="000000"/>
          <w:sz w:val="23"/>
          <w:szCs w:val="23"/>
        </w:rPr>
        <w:t>ture retirement fu</w:t>
      </w:r>
      <w:r w:rsidR="001E2401">
        <w:rPr>
          <w:rStyle w:val="Strong"/>
          <w:rFonts w:cs="Calibri"/>
          <w:b w:val="0"/>
          <w:color w:val="000000"/>
          <w:sz w:val="23"/>
          <w:szCs w:val="23"/>
        </w:rPr>
        <w:t>nd of £381,075</w:t>
      </w:r>
      <w:bookmarkStart w:id="0" w:name="_GoBack"/>
      <w:bookmarkEnd w:id="0"/>
      <w:r>
        <w:rPr>
          <w:rStyle w:val="Strong"/>
          <w:rFonts w:cs="Calibri"/>
          <w:b w:val="0"/>
          <w:color w:val="000000"/>
          <w:sz w:val="23"/>
          <w:szCs w:val="23"/>
        </w:rPr>
        <w:t>.</w:t>
      </w:r>
    </w:p>
    <w:p w:rsidR="001215BA" w:rsidRPr="004066F6" w:rsidRDefault="001215BA" w:rsidP="001215BA">
      <w:pPr>
        <w:rPr>
          <w:rStyle w:val="Strong"/>
          <w:rFonts w:cs="Calibri"/>
          <w:b w:val="0"/>
          <w:color w:val="000000"/>
          <w:sz w:val="23"/>
          <w:szCs w:val="23"/>
        </w:rPr>
      </w:pPr>
      <w:r w:rsidRPr="004066F6">
        <w:rPr>
          <w:rStyle w:val="Strong"/>
          <w:rFonts w:cs="Calibri"/>
          <w:b w:val="0"/>
          <w:color w:val="000000"/>
          <w:sz w:val="23"/>
          <w:szCs w:val="23"/>
        </w:rPr>
        <w:t>Notes:</w:t>
      </w:r>
    </w:p>
    <w:p w:rsidR="001215BA" w:rsidRPr="004066F6" w:rsidRDefault="001215BA" w:rsidP="001215BA">
      <w:pPr>
        <w:rPr>
          <w:rStyle w:val="Strong"/>
          <w:rFonts w:cs="Calibri"/>
          <w:b w:val="0"/>
          <w:color w:val="000000"/>
          <w:sz w:val="23"/>
          <w:szCs w:val="23"/>
        </w:rPr>
      </w:pPr>
      <w:r w:rsidRPr="004066F6">
        <w:rPr>
          <w:rStyle w:val="Strong"/>
          <w:rFonts w:cs="Calibri"/>
          <w:b w:val="0"/>
          <w:color w:val="000000"/>
          <w:sz w:val="23"/>
          <w:szCs w:val="23"/>
        </w:rPr>
        <w:t xml:space="preserve">The pension income stated is based pension rates as at </w:t>
      </w:r>
      <w:r>
        <w:rPr>
          <w:rStyle w:val="Strong"/>
          <w:rFonts w:cs="Calibri"/>
          <w:b w:val="0"/>
          <w:color w:val="000000"/>
          <w:sz w:val="23"/>
          <w:szCs w:val="23"/>
        </w:rPr>
        <w:t>5 April 2012</w:t>
      </w:r>
      <w:r w:rsidRPr="004066F6">
        <w:rPr>
          <w:rStyle w:val="Strong"/>
          <w:rFonts w:cs="Calibri"/>
          <w:b w:val="0"/>
          <w:color w:val="000000"/>
          <w:sz w:val="23"/>
          <w:szCs w:val="23"/>
        </w:rPr>
        <w:t xml:space="preserve">, which are not guaranteed to continue. </w:t>
      </w:r>
    </w:p>
    <w:p w:rsidR="001215BA" w:rsidRPr="00767BDA" w:rsidRDefault="001215BA" w:rsidP="001215BA">
      <w:pPr>
        <w:rPr>
          <w:rStyle w:val="Strong"/>
          <w:rFonts w:cs="Calibri"/>
          <w:b w:val="0"/>
          <w:color w:val="000000"/>
          <w:sz w:val="23"/>
          <w:szCs w:val="23"/>
        </w:rPr>
      </w:pPr>
      <w:r w:rsidRPr="00767BDA">
        <w:rPr>
          <w:rStyle w:val="Strong"/>
          <w:rFonts w:cs="Calibri"/>
          <w:b w:val="0"/>
          <w:color w:val="000000"/>
          <w:sz w:val="23"/>
          <w:szCs w:val="23"/>
        </w:rPr>
        <w:t xml:space="preserve">This benefit statement is for illustrative purposes only and is not guaranteed. </w:t>
      </w:r>
    </w:p>
    <w:p w:rsidR="001215BA" w:rsidRPr="00767BDA" w:rsidRDefault="001215BA" w:rsidP="001215BA">
      <w:pPr>
        <w:pStyle w:val="ListParagraph"/>
        <w:ind w:left="0"/>
        <w:rPr>
          <w:rStyle w:val="Strong"/>
          <w:rFonts w:cs="Calibri"/>
          <w:b w:val="0"/>
          <w:color w:val="000000"/>
          <w:sz w:val="23"/>
          <w:szCs w:val="23"/>
        </w:rPr>
      </w:pPr>
      <w:r w:rsidRPr="00767BDA">
        <w:rPr>
          <w:rStyle w:val="Strong"/>
          <w:rFonts w:cs="Calibri"/>
          <w:b w:val="0"/>
          <w:color w:val="000000"/>
          <w:sz w:val="23"/>
          <w:szCs w:val="23"/>
        </w:rPr>
        <w:t>In accordance with Statutory Money Purchase Illustration requirements, it has been assumed that:</w:t>
      </w:r>
    </w:p>
    <w:p w:rsidR="001215BA" w:rsidRPr="00767BDA" w:rsidRDefault="001215BA" w:rsidP="001215BA">
      <w:pPr>
        <w:pStyle w:val="ListParagraph"/>
        <w:rPr>
          <w:rStyle w:val="Strong"/>
          <w:rFonts w:cs="Calibri"/>
          <w:b w:val="0"/>
          <w:color w:val="000000"/>
          <w:sz w:val="23"/>
          <w:szCs w:val="23"/>
        </w:rPr>
      </w:pPr>
    </w:p>
    <w:tbl>
      <w:tblPr>
        <w:tblW w:w="3632" w:type="dxa"/>
        <w:tblInd w:w="817" w:type="dxa"/>
        <w:tblLook w:val="04A0" w:firstRow="1" w:lastRow="0" w:firstColumn="1" w:lastColumn="0" w:noHBand="0" w:noVBand="1"/>
      </w:tblPr>
      <w:tblGrid>
        <w:gridCol w:w="2656"/>
        <w:gridCol w:w="976"/>
      </w:tblGrid>
      <w:tr w:rsidR="001215BA" w:rsidRPr="00767BDA" w:rsidTr="001772F9">
        <w:trPr>
          <w:trHeight w:val="255"/>
        </w:trPr>
        <w:tc>
          <w:tcPr>
            <w:tcW w:w="265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rPr>
                <w:rFonts w:eastAsia="Times New Roman" w:cs="Calibri"/>
                <w:color w:val="000000"/>
                <w:sz w:val="23"/>
                <w:szCs w:val="23"/>
                <w:lang w:eastAsia="en-GB"/>
              </w:rPr>
            </w:pPr>
            <w:r w:rsidRPr="00767BDA">
              <w:rPr>
                <w:rFonts w:eastAsia="Times New Roman" w:cs="Calibri"/>
                <w:color w:val="000000"/>
                <w:sz w:val="23"/>
                <w:szCs w:val="23"/>
                <w:lang w:eastAsia="en-GB"/>
              </w:rPr>
              <w:t>Annuity yield</w:t>
            </w:r>
          </w:p>
        </w:tc>
        <w:tc>
          <w:tcPr>
            <w:tcW w:w="97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jc w:val="right"/>
              <w:rPr>
                <w:rFonts w:eastAsia="Times New Roman" w:cs="Calibri"/>
                <w:color w:val="000000"/>
                <w:sz w:val="23"/>
                <w:szCs w:val="23"/>
                <w:lang w:eastAsia="en-GB"/>
              </w:rPr>
            </w:pPr>
            <w:r w:rsidRPr="00767BDA">
              <w:rPr>
                <w:rFonts w:eastAsia="Times New Roman" w:cs="Calibri"/>
                <w:color w:val="000000"/>
                <w:sz w:val="23"/>
                <w:szCs w:val="23"/>
                <w:lang w:eastAsia="en-GB"/>
              </w:rPr>
              <w:t>0.033</w:t>
            </w:r>
          </w:p>
        </w:tc>
      </w:tr>
      <w:tr w:rsidR="001215BA" w:rsidRPr="00767BDA" w:rsidTr="001772F9">
        <w:trPr>
          <w:trHeight w:val="255"/>
        </w:trPr>
        <w:tc>
          <w:tcPr>
            <w:tcW w:w="265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rPr>
                <w:rFonts w:eastAsia="Times New Roman" w:cs="Calibri"/>
                <w:color w:val="000000"/>
                <w:sz w:val="23"/>
                <w:szCs w:val="23"/>
                <w:lang w:eastAsia="en-GB"/>
              </w:rPr>
            </w:pPr>
            <w:r w:rsidRPr="00767BDA">
              <w:rPr>
                <w:rFonts w:eastAsia="Times New Roman" w:cs="Calibri"/>
                <w:color w:val="000000"/>
                <w:sz w:val="23"/>
                <w:szCs w:val="23"/>
                <w:lang w:eastAsia="en-GB"/>
              </w:rPr>
              <w:t>Accumulation Rate</w:t>
            </w:r>
          </w:p>
        </w:tc>
        <w:tc>
          <w:tcPr>
            <w:tcW w:w="97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jc w:val="right"/>
              <w:rPr>
                <w:rFonts w:eastAsia="Times New Roman" w:cs="Calibri"/>
                <w:color w:val="000000"/>
                <w:sz w:val="23"/>
                <w:szCs w:val="23"/>
                <w:lang w:eastAsia="en-GB"/>
              </w:rPr>
            </w:pPr>
            <w:r w:rsidRPr="00767BDA">
              <w:rPr>
                <w:rFonts w:eastAsia="Times New Roman" w:cs="Calibri"/>
                <w:color w:val="000000"/>
                <w:sz w:val="23"/>
                <w:szCs w:val="23"/>
                <w:lang w:eastAsia="en-GB"/>
              </w:rPr>
              <w:t>0.05</w:t>
            </w:r>
          </w:p>
        </w:tc>
      </w:tr>
      <w:tr w:rsidR="001215BA" w:rsidRPr="00767BDA" w:rsidTr="001772F9">
        <w:trPr>
          <w:trHeight w:val="255"/>
        </w:trPr>
        <w:tc>
          <w:tcPr>
            <w:tcW w:w="265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rPr>
                <w:rFonts w:eastAsia="Times New Roman" w:cs="Calibri"/>
                <w:color w:val="000000"/>
                <w:sz w:val="23"/>
                <w:szCs w:val="23"/>
                <w:lang w:eastAsia="en-GB"/>
              </w:rPr>
            </w:pPr>
            <w:r w:rsidRPr="00767BDA">
              <w:rPr>
                <w:rFonts w:eastAsia="Times New Roman" w:cs="Calibri"/>
                <w:color w:val="000000"/>
                <w:sz w:val="23"/>
                <w:szCs w:val="23"/>
                <w:lang w:eastAsia="en-GB"/>
              </w:rPr>
              <w:t>Expenses Before Retirement</w:t>
            </w:r>
          </w:p>
        </w:tc>
        <w:tc>
          <w:tcPr>
            <w:tcW w:w="97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jc w:val="right"/>
              <w:rPr>
                <w:rFonts w:eastAsia="Times New Roman" w:cs="Calibri"/>
                <w:color w:val="000000"/>
                <w:sz w:val="23"/>
                <w:szCs w:val="23"/>
                <w:lang w:eastAsia="en-GB"/>
              </w:rPr>
            </w:pPr>
            <w:r w:rsidRPr="00767BDA">
              <w:rPr>
                <w:rFonts w:eastAsia="Times New Roman" w:cs="Calibri"/>
                <w:color w:val="000000"/>
                <w:sz w:val="23"/>
                <w:szCs w:val="23"/>
                <w:lang w:eastAsia="en-GB"/>
              </w:rPr>
              <w:t>0.01</w:t>
            </w:r>
          </w:p>
        </w:tc>
      </w:tr>
      <w:tr w:rsidR="001215BA" w:rsidRPr="00767BDA" w:rsidTr="001772F9">
        <w:trPr>
          <w:trHeight w:val="255"/>
        </w:trPr>
        <w:tc>
          <w:tcPr>
            <w:tcW w:w="265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rPr>
                <w:rFonts w:eastAsia="Times New Roman" w:cs="Calibri"/>
                <w:color w:val="000000"/>
                <w:sz w:val="23"/>
                <w:szCs w:val="23"/>
                <w:lang w:eastAsia="en-GB"/>
              </w:rPr>
            </w:pPr>
            <w:r w:rsidRPr="00767BDA">
              <w:rPr>
                <w:rFonts w:eastAsia="Times New Roman" w:cs="Calibri"/>
                <w:color w:val="000000"/>
                <w:sz w:val="23"/>
                <w:szCs w:val="23"/>
                <w:lang w:eastAsia="en-GB"/>
              </w:rPr>
              <w:t>Expenses After Retirement</w:t>
            </w:r>
          </w:p>
        </w:tc>
        <w:tc>
          <w:tcPr>
            <w:tcW w:w="97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jc w:val="right"/>
              <w:rPr>
                <w:rFonts w:eastAsia="Times New Roman" w:cs="Calibri"/>
                <w:color w:val="000000"/>
                <w:sz w:val="23"/>
                <w:szCs w:val="23"/>
                <w:lang w:eastAsia="en-GB"/>
              </w:rPr>
            </w:pPr>
            <w:r w:rsidRPr="00767BDA">
              <w:rPr>
                <w:rFonts w:eastAsia="Times New Roman" w:cs="Calibri"/>
                <w:color w:val="000000"/>
                <w:sz w:val="23"/>
                <w:szCs w:val="23"/>
                <w:lang w:eastAsia="en-GB"/>
              </w:rPr>
              <w:t>0.04</w:t>
            </w:r>
          </w:p>
        </w:tc>
      </w:tr>
      <w:tr w:rsidR="001215BA" w:rsidRPr="00767BDA" w:rsidTr="001772F9">
        <w:trPr>
          <w:trHeight w:val="255"/>
        </w:trPr>
        <w:tc>
          <w:tcPr>
            <w:tcW w:w="265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rPr>
                <w:rFonts w:eastAsia="Times New Roman" w:cs="Calibri"/>
                <w:color w:val="000000"/>
                <w:sz w:val="23"/>
                <w:szCs w:val="23"/>
                <w:lang w:eastAsia="en-GB"/>
              </w:rPr>
            </w:pPr>
            <w:r w:rsidRPr="00767BDA">
              <w:rPr>
                <w:rFonts w:eastAsia="Times New Roman" w:cs="Calibri"/>
                <w:color w:val="000000"/>
                <w:sz w:val="23"/>
                <w:szCs w:val="23"/>
                <w:lang w:eastAsia="en-GB"/>
              </w:rPr>
              <w:t>Rate of increase in Salary</w:t>
            </w:r>
          </w:p>
        </w:tc>
        <w:tc>
          <w:tcPr>
            <w:tcW w:w="97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jc w:val="right"/>
              <w:rPr>
                <w:rFonts w:eastAsia="Times New Roman" w:cs="Calibri"/>
                <w:color w:val="000000"/>
                <w:sz w:val="23"/>
                <w:szCs w:val="23"/>
                <w:lang w:eastAsia="en-GB"/>
              </w:rPr>
            </w:pPr>
            <w:r w:rsidRPr="00767BDA">
              <w:rPr>
                <w:rFonts w:eastAsia="Times New Roman" w:cs="Calibri"/>
                <w:color w:val="000000"/>
                <w:sz w:val="23"/>
                <w:szCs w:val="23"/>
                <w:lang w:eastAsia="en-GB"/>
              </w:rPr>
              <w:t>0.025</w:t>
            </w:r>
          </w:p>
        </w:tc>
      </w:tr>
      <w:tr w:rsidR="001215BA" w:rsidRPr="00767BDA" w:rsidTr="001772F9">
        <w:trPr>
          <w:trHeight w:val="255"/>
        </w:trPr>
        <w:tc>
          <w:tcPr>
            <w:tcW w:w="265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rPr>
                <w:rFonts w:eastAsia="Times New Roman" w:cs="Calibri"/>
                <w:color w:val="000000"/>
                <w:sz w:val="23"/>
                <w:szCs w:val="23"/>
                <w:lang w:eastAsia="en-GB"/>
              </w:rPr>
            </w:pPr>
            <w:r w:rsidRPr="00767BDA">
              <w:rPr>
                <w:rFonts w:eastAsia="Times New Roman" w:cs="Calibri"/>
                <w:color w:val="000000"/>
                <w:sz w:val="23"/>
                <w:szCs w:val="23"/>
                <w:lang w:eastAsia="en-GB"/>
              </w:rPr>
              <w:t>RPI</w:t>
            </w:r>
          </w:p>
        </w:tc>
        <w:tc>
          <w:tcPr>
            <w:tcW w:w="976" w:type="dxa"/>
            <w:tcBorders>
              <w:top w:val="nil"/>
              <w:left w:val="nil"/>
              <w:bottom w:val="nil"/>
              <w:right w:val="nil"/>
            </w:tcBorders>
            <w:shd w:val="clear" w:color="auto" w:fill="auto"/>
            <w:noWrap/>
            <w:vAlign w:val="bottom"/>
            <w:hideMark/>
          </w:tcPr>
          <w:p w:rsidR="001215BA" w:rsidRPr="00767BDA" w:rsidRDefault="001215BA" w:rsidP="001772F9">
            <w:pPr>
              <w:spacing w:after="0" w:line="240" w:lineRule="auto"/>
              <w:jc w:val="right"/>
              <w:rPr>
                <w:rFonts w:eastAsia="Times New Roman" w:cs="Calibri"/>
                <w:color w:val="000000"/>
                <w:sz w:val="23"/>
                <w:szCs w:val="23"/>
                <w:lang w:eastAsia="en-GB"/>
              </w:rPr>
            </w:pPr>
            <w:r w:rsidRPr="00767BDA">
              <w:rPr>
                <w:rFonts w:eastAsia="Times New Roman" w:cs="Calibri"/>
                <w:color w:val="000000"/>
                <w:sz w:val="23"/>
                <w:szCs w:val="23"/>
                <w:lang w:eastAsia="en-GB"/>
              </w:rPr>
              <w:t>0.025</w:t>
            </w:r>
          </w:p>
        </w:tc>
      </w:tr>
      <w:tr w:rsidR="001215BA" w:rsidRPr="00767BDA" w:rsidTr="001772F9">
        <w:trPr>
          <w:trHeight w:val="255"/>
        </w:trPr>
        <w:tc>
          <w:tcPr>
            <w:tcW w:w="2656" w:type="dxa"/>
            <w:tcBorders>
              <w:top w:val="nil"/>
              <w:left w:val="nil"/>
              <w:bottom w:val="nil"/>
              <w:right w:val="nil"/>
            </w:tcBorders>
            <w:shd w:val="clear" w:color="auto" w:fill="auto"/>
            <w:noWrap/>
            <w:vAlign w:val="center"/>
            <w:hideMark/>
          </w:tcPr>
          <w:p w:rsidR="001215BA" w:rsidRPr="00767BDA" w:rsidRDefault="001215BA" w:rsidP="001772F9">
            <w:pPr>
              <w:spacing w:after="0" w:line="240" w:lineRule="auto"/>
              <w:rPr>
                <w:rFonts w:eastAsia="Times New Roman" w:cs="Calibri"/>
                <w:sz w:val="23"/>
                <w:szCs w:val="23"/>
                <w:lang w:eastAsia="en-GB"/>
              </w:rPr>
            </w:pPr>
          </w:p>
        </w:tc>
        <w:tc>
          <w:tcPr>
            <w:tcW w:w="976" w:type="dxa"/>
            <w:tcBorders>
              <w:top w:val="nil"/>
              <w:left w:val="nil"/>
              <w:bottom w:val="nil"/>
              <w:right w:val="nil"/>
            </w:tcBorders>
            <w:shd w:val="clear" w:color="auto" w:fill="auto"/>
            <w:noWrap/>
            <w:vAlign w:val="center"/>
            <w:hideMark/>
          </w:tcPr>
          <w:p w:rsidR="001215BA" w:rsidRPr="00767BDA" w:rsidRDefault="001215BA" w:rsidP="001772F9">
            <w:pPr>
              <w:spacing w:after="0" w:line="240" w:lineRule="auto"/>
              <w:rPr>
                <w:rFonts w:eastAsia="Times New Roman" w:cs="Calibri"/>
                <w:sz w:val="23"/>
                <w:szCs w:val="23"/>
                <w:lang w:eastAsia="en-GB"/>
              </w:rPr>
            </w:pPr>
          </w:p>
        </w:tc>
      </w:tr>
    </w:tbl>
    <w:p w:rsidR="001215BA" w:rsidRPr="00767BDA" w:rsidRDefault="001215BA" w:rsidP="001215BA">
      <w:pPr>
        <w:pStyle w:val="ListParagraph"/>
        <w:ind w:left="0"/>
        <w:rPr>
          <w:rStyle w:val="apple-style-span"/>
          <w:rFonts w:cs="Calibri"/>
          <w:bCs/>
          <w:color w:val="000000"/>
          <w:sz w:val="23"/>
          <w:szCs w:val="23"/>
        </w:rPr>
      </w:pPr>
      <w:r w:rsidRPr="00767BDA">
        <w:rPr>
          <w:rStyle w:val="apple-style-span"/>
          <w:rFonts w:cs="Calibri"/>
          <w:bCs/>
          <w:color w:val="000000"/>
          <w:sz w:val="23"/>
          <w:szCs w:val="23"/>
        </w:rPr>
        <w:t>We have assumed that 10% of total earnings stated in the event questionnaire are contributed to the Scheme. Where no earnings have been disclosed, we have assumed an annual pay of £50,000.</w:t>
      </w:r>
    </w:p>
    <w:p w:rsidR="00702F1F" w:rsidRPr="00DC11CB" w:rsidRDefault="001215BA" w:rsidP="001215BA">
      <w:pPr>
        <w:rPr>
          <w:rFonts w:cs="Calibri"/>
          <w:bCs/>
          <w:color w:val="000000"/>
          <w:sz w:val="23"/>
          <w:szCs w:val="23"/>
        </w:rPr>
      </w:pPr>
      <w:r w:rsidRPr="00767BDA">
        <w:rPr>
          <w:rStyle w:val="apple-style-span"/>
          <w:rFonts w:cs="Calibri"/>
          <w:color w:val="000000"/>
          <w:sz w:val="23"/>
          <w:szCs w:val="23"/>
        </w:rPr>
        <w:t xml:space="preserve">Should you require a more detailed calculation specific to your requirements, including a targeted benefits statement for retirement at a future date please contact Pension Practitioner .Com. </w:t>
      </w:r>
    </w:p>
    <w:sectPr w:rsidR="00702F1F" w:rsidRPr="00DC11CB" w:rsidSect="005D701B">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24D8"/>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92AA8"/>
    <w:multiLevelType w:val="hybridMultilevel"/>
    <w:tmpl w:val="20A49D3A"/>
    <w:lvl w:ilvl="0" w:tplc="08090001">
      <w:start w:val="1"/>
      <w:numFmt w:val="bullet"/>
      <w:lvlText w:val=""/>
      <w:lvlJc w:val="left"/>
      <w:pPr>
        <w:ind w:left="768" w:hanging="360"/>
      </w:pPr>
      <w:rPr>
        <w:rFonts w:ascii="Symbol" w:hAnsi="Symbol" w:hint="default"/>
      </w:rPr>
    </w:lvl>
    <w:lvl w:ilvl="1" w:tplc="91BA0F34">
      <w:numFmt w:val="bullet"/>
      <w:lvlText w:val="-"/>
      <w:lvlJc w:val="left"/>
      <w:pPr>
        <w:ind w:left="1488" w:hanging="360"/>
      </w:pPr>
      <w:rPr>
        <w:rFonts w:ascii="Calibri" w:eastAsia="Calibr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nsid w:val="1FE12416"/>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196DB8"/>
    <w:multiLevelType w:val="hybridMultilevel"/>
    <w:tmpl w:val="FF144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0B53F1"/>
    <w:multiLevelType w:val="hybridMultilevel"/>
    <w:tmpl w:val="2C7A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2E0371"/>
    <w:multiLevelType w:val="hybridMultilevel"/>
    <w:tmpl w:val="2D543A04"/>
    <w:lvl w:ilvl="0" w:tplc="F3DA7ECA">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9126F3"/>
    <w:multiLevelType w:val="hybridMultilevel"/>
    <w:tmpl w:val="05E44FE6"/>
    <w:lvl w:ilvl="0" w:tplc="7952D5EC">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DB40CC"/>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6"/>
  </w:num>
  <w:num w:numId="7">
    <w:abstractNumId w:val="7"/>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BFB"/>
    <w:rsid w:val="00006E60"/>
    <w:rsid w:val="00017C2F"/>
    <w:rsid w:val="000257F8"/>
    <w:rsid w:val="000425F6"/>
    <w:rsid w:val="0005403F"/>
    <w:rsid w:val="00062A18"/>
    <w:rsid w:val="000905BC"/>
    <w:rsid w:val="000A180C"/>
    <w:rsid w:val="000B034F"/>
    <w:rsid w:val="000B2813"/>
    <w:rsid w:val="000B5484"/>
    <w:rsid w:val="000C5A09"/>
    <w:rsid w:val="000D7A78"/>
    <w:rsid w:val="000E131A"/>
    <w:rsid w:val="000F21A7"/>
    <w:rsid w:val="00106DF3"/>
    <w:rsid w:val="0011057B"/>
    <w:rsid w:val="00112F71"/>
    <w:rsid w:val="001215BA"/>
    <w:rsid w:val="001772F9"/>
    <w:rsid w:val="00187F32"/>
    <w:rsid w:val="001B0DE1"/>
    <w:rsid w:val="001D30D1"/>
    <w:rsid w:val="001E2401"/>
    <w:rsid w:val="001E7EF8"/>
    <w:rsid w:val="00250D5A"/>
    <w:rsid w:val="00252B45"/>
    <w:rsid w:val="002725C2"/>
    <w:rsid w:val="00293106"/>
    <w:rsid w:val="002A4941"/>
    <w:rsid w:val="002A6517"/>
    <w:rsid w:val="002B588B"/>
    <w:rsid w:val="003304C3"/>
    <w:rsid w:val="00334700"/>
    <w:rsid w:val="003439BE"/>
    <w:rsid w:val="003526AC"/>
    <w:rsid w:val="00377BF6"/>
    <w:rsid w:val="003F32E7"/>
    <w:rsid w:val="004066F6"/>
    <w:rsid w:val="004174EB"/>
    <w:rsid w:val="00425EAE"/>
    <w:rsid w:val="0043315F"/>
    <w:rsid w:val="004361B1"/>
    <w:rsid w:val="00442607"/>
    <w:rsid w:val="00443E2D"/>
    <w:rsid w:val="00444E6B"/>
    <w:rsid w:val="00445D60"/>
    <w:rsid w:val="004570D5"/>
    <w:rsid w:val="00476BE3"/>
    <w:rsid w:val="00481516"/>
    <w:rsid w:val="00490A7B"/>
    <w:rsid w:val="0049549F"/>
    <w:rsid w:val="004A4340"/>
    <w:rsid w:val="004C346C"/>
    <w:rsid w:val="004F6723"/>
    <w:rsid w:val="004F7022"/>
    <w:rsid w:val="005126EE"/>
    <w:rsid w:val="00512AFE"/>
    <w:rsid w:val="00531FB0"/>
    <w:rsid w:val="00563B34"/>
    <w:rsid w:val="00585481"/>
    <w:rsid w:val="005A29DE"/>
    <w:rsid w:val="005C103F"/>
    <w:rsid w:val="005C281B"/>
    <w:rsid w:val="005C765B"/>
    <w:rsid w:val="005D701B"/>
    <w:rsid w:val="00602831"/>
    <w:rsid w:val="00657ADE"/>
    <w:rsid w:val="0068202A"/>
    <w:rsid w:val="006848C4"/>
    <w:rsid w:val="006A13B7"/>
    <w:rsid w:val="006A3B9C"/>
    <w:rsid w:val="006A63FD"/>
    <w:rsid w:val="006D7433"/>
    <w:rsid w:val="006E1EE4"/>
    <w:rsid w:val="00702F1F"/>
    <w:rsid w:val="007145E9"/>
    <w:rsid w:val="007331A6"/>
    <w:rsid w:val="00741785"/>
    <w:rsid w:val="007526D0"/>
    <w:rsid w:val="00765C09"/>
    <w:rsid w:val="0077704C"/>
    <w:rsid w:val="00790E84"/>
    <w:rsid w:val="007B666E"/>
    <w:rsid w:val="007E4EA4"/>
    <w:rsid w:val="007E6B41"/>
    <w:rsid w:val="008148DB"/>
    <w:rsid w:val="00844F5F"/>
    <w:rsid w:val="00853D11"/>
    <w:rsid w:val="00856E59"/>
    <w:rsid w:val="0086260D"/>
    <w:rsid w:val="00877765"/>
    <w:rsid w:val="008836C9"/>
    <w:rsid w:val="00893837"/>
    <w:rsid w:val="008C0023"/>
    <w:rsid w:val="008F5BB1"/>
    <w:rsid w:val="00912391"/>
    <w:rsid w:val="00931AB3"/>
    <w:rsid w:val="0097667E"/>
    <w:rsid w:val="009A0C95"/>
    <w:rsid w:val="009B67D0"/>
    <w:rsid w:val="009E3BA2"/>
    <w:rsid w:val="009F0FA0"/>
    <w:rsid w:val="009F4DC9"/>
    <w:rsid w:val="00A00FAC"/>
    <w:rsid w:val="00A12EA0"/>
    <w:rsid w:val="00A152BC"/>
    <w:rsid w:val="00A16F32"/>
    <w:rsid w:val="00A31D79"/>
    <w:rsid w:val="00A733FA"/>
    <w:rsid w:val="00AD0CFE"/>
    <w:rsid w:val="00AD240B"/>
    <w:rsid w:val="00AE3BD8"/>
    <w:rsid w:val="00B05A20"/>
    <w:rsid w:val="00B073A2"/>
    <w:rsid w:val="00B20DC3"/>
    <w:rsid w:val="00B23FF7"/>
    <w:rsid w:val="00B76CB6"/>
    <w:rsid w:val="00B919AD"/>
    <w:rsid w:val="00BC178F"/>
    <w:rsid w:val="00BC6BFB"/>
    <w:rsid w:val="00BD3139"/>
    <w:rsid w:val="00BD3F6F"/>
    <w:rsid w:val="00BF2872"/>
    <w:rsid w:val="00C108DC"/>
    <w:rsid w:val="00C16156"/>
    <w:rsid w:val="00C23F29"/>
    <w:rsid w:val="00C53C3D"/>
    <w:rsid w:val="00C545C3"/>
    <w:rsid w:val="00C575E9"/>
    <w:rsid w:val="00C90B8E"/>
    <w:rsid w:val="00CB7D56"/>
    <w:rsid w:val="00D00FE6"/>
    <w:rsid w:val="00D10DBC"/>
    <w:rsid w:val="00D25B8B"/>
    <w:rsid w:val="00D31E32"/>
    <w:rsid w:val="00D41E69"/>
    <w:rsid w:val="00D64CA6"/>
    <w:rsid w:val="00D66EC9"/>
    <w:rsid w:val="00DA66CE"/>
    <w:rsid w:val="00DB0B7E"/>
    <w:rsid w:val="00DB278E"/>
    <w:rsid w:val="00DC11CB"/>
    <w:rsid w:val="00DC2795"/>
    <w:rsid w:val="00DC3AF8"/>
    <w:rsid w:val="00DD7ECC"/>
    <w:rsid w:val="00E14E64"/>
    <w:rsid w:val="00E32CDF"/>
    <w:rsid w:val="00E33B5D"/>
    <w:rsid w:val="00E70213"/>
    <w:rsid w:val="00E805C2"/>
    <w:rsid w:val="00E90439"/>
    <w:rsid w:val="00EA1321"/>
    <w:rsid w:val="00EB0657"/>
    <w:rsid w:val="00EB084B"/>
    <w:rsid w:val="00EC5E8B"/>
    <w:rsid w:val="00ED06AB"/>
    <w:rsid w:val="00EE5D1E"/>
    <w:rsid w:val="00EF3AC1"/>
    <w:rsid w:val="00F10885"/>
    <w:rsid w:val="00F348DA"/>
    <w:rsid w:val="00F4591C"/>
    <w:rsid w:val="00F5458C"/>
    <w:rsid w:val="00F92CF9"/>
    <w:rsid w:val="00FB07BD"/>
    <w:rsid w:val="00FB19D3"/>
    <w:rsid w:val="00FC0DFA"/>
    <w:rsid w:val="00FD3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A7"/>
    <w:pPr>
      <w:spacing w:after="200" w:line="276" w:lineRule="auto"/>
    </w:pPr>
    <w:rPr>
      <w:sz w:val="22"/>
      <w:szCs w:val="22"/>
      <w:lang w:eastAsia="en-US"/>
    </w:rPr>
  </w:style>
  <w:style w:type="paragraph" w:styleId="Heading1">
    <w:name w:val="heading 1"/>
    <w:basedOn w:val="Normal"/>
    <w:next w:val="Normal"/>
    <w:link w:val="Heading1Char"/>
    <w:uiPriority w:val="9"/>
    <w:qFormat/>
    <w:rsid w:val="00585481"/>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unhideWhenUsed/>
    <w:qFormat/>
    <w:rsid w:val="00BC6BFB"/>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5481"/>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BC6BFB"/>
    <w:rPr>
      <w:rFonts w:ascii="Cambria" w:eastAsia="Times New Roman" w:hAnsi="Cambria" w:cs="Times New Roman"/>
      <w:b/>
      <w:bCs/>
      <w:color w:val="4F81BD"/>
      <w:sz w:val="26"/>
      <w:szCs w:val="26"/>
    </w:rPr>
  </w:style>
  <w:style w:type="paragraph" w:styleId="ListParagraph">
    <w:name w:val="List Paragraph"/>
    <w:basedOn w:val="Normal"/>
    <w:uiPriority w:val="34"/>
    <w:qFormat/>
    <w:rsid w:val="00BC6BFB"/>
    <w:pPr>
      <w:ind w:left="720"/>
      <w:contextualSpacing/>
    </w:pPr>
  </w:style>
  <w:style w:type="character" w:styleId="SubtleEmphasis">
    <w:name w:val="Subtle Emphasis"/>
    <w:uiPriority w:val="19"/>
    <w:qFormat/>
    <w:rsid w:val="00BC6BFB"/>
    <w:rPr>
      <w:i/>
      <w:iCs/>
      <w:color w:val="808080"/>
    </w:rPr>
  </w:style>
  <w:style w:type="character" w:styleId="Emphasis">
    <w:name w:val="Emphasis"/>
    <w:uiPriority w:val="20"/>
    <w:qFormat/>
    <w:rsid w:val="00BC6BFB"/>
    <w:rPr>
      <w:i/>
      <w:iCs/>
    </w:rPr>
  </w:style>
  <w:style w:type="character" w:styleId="IntenseEmphasis">
    <w:name w:val="Intense Emphasis"/>
    <w:uiPriority w:val="21"/>
    <w:qFormat/>
    <w:rsid w:val="00BC6BFB"/>
    <w:rPr>
      <w:b/>
      <w:bCs/>
      <w:i/>
      <w:iCs/>
      <w:color w:val="4F81BD"/>
    </w:rPr>
  </w:style>
  <w:style w:type="paragraph" w:styleId="Title">
    <w:name w:val="Title"/>
    <w:basedOn w:val="Normal"/>
    <w:next w:val="Normal"/>
    <w:link w:val="TitleChar"/>
    <w:uiPriority w:val="10"/>
    <w:qFormat/>
    <w:rsid w:val="00BC6BFB"/>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BC6BFB"/>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BC6BFB"/>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BC6BFB"/>
    <w:rPr>
      <w:rFonts w:ascii="Cambria" w:eastAsia="Times New Roman" w:hAnsi="Cambria" w:cs="Times New Roman"/>
      <w:i/>
      <w:iCs/>
      <w:color w:val="4F81BD"/>
      <w:spacing w:val="15"/>
      <w:sz w:val="24"/>
      <w:szCs w:val="24"/>
    </w:rPr>
  </w:style>
  <w:style w:type="character" w:styleId="Hyperlink">
    <w:name w:val="Hyperlink"/>
    <w:uiPriority w:val="99"/>
    <w:unhideWhenUsed/>
    <w:rsid w:val="00E70213"/>
    <w:rPr>
      <w:color w:val="0000FF"/>
      <w:u w:val="single"/>
    </w:rPr>
  </w:style>
  <w:style w:type="paragraph" w:styleId="NormalWeb">
    <w:name w:val="Normal (Web)"/>
    <w:basedOn w:val="Normal"/>
    <w:uiPriority w:val="99"/>
    <w:unhideWhenUsed/>
    <w:rsid w:val="0089383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style-span">
    <w:name w:val="apple-style-span"/>
    <w:basedOn w:val="DefaultParagraphFont"/>
    <w:rsid w:val="007B666E"/>
  </w:style>
  <w:style w:type="character" w:customStyle="1" w:styleId="apple-converted-space">
    <w:name w:val="apple-converted-space"/>
    <w:basedOn w:val="DefaultParagraphFont"/>
    <w:rsid w:val="007B666E"/>
  </w:style>
  <w:style w:type="character" w:styleId="Strong">
    <w:name w:val="Strong"/>
    <w:uiPriority w:val="22"/>
    <w:qFormat/>
    <w:rsid w:val="007B666E"/>
    <w:rPr>
      <w:b/>
      <w:bCs/>
    </w:rPr>
  </w:style>
  <w:style w:type="paragraph" w:customStyle="1" w:styleId="cnstorysubtitle">
    <w:name w:val="cn_story_subtitle"/>
    <w:basedOn w:val="Normal"/>
    <w:rsid w:val="00844F5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AD0CFE"/>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D0CFE"/>
    <w:rPr>
      <w:rFonts w:ascii="Tahoma" w:hAnsi="Tahoma" w:cs="Tahoma"/>
      <w:sz w:val="16"/>
      <w:szCs w:val="16"/>
      <w:lang w:eastAsia="en-US"/>
    </w:rPr>
  </w:style>
  <w:style w:type="paragraph" w:customStyle="1" w:styleId="Default">
    <w:name w:val="Default"/>
    <w:rsid w:val="00252B45"/>
    <w:pPr>
      <w:widowControl w:val="0"/>
      <w:autoSpaceDE w:val="0"/>
      <w:autoSpaceDN w:val="0"/>
      <w:adjustRightInd w:val="0"/>
    </w:pPr>
    <w:rPr>
      <w:rFonts w:ascii="Helvetica" w:eastAsia="Times New Roman" w:hAnsi="Helvetica" w:cs="Helvetica"/>
      <w:color w:val="000000"/>
      <w:sz w:val="24"/>
      <w:szCs w:val="24"/>
    </w:rPr>
  </w:style>
  <w:style w:type="paragraph" w:styleId="Quote">
    <w:name w:val="Quote"/>
    <w:basedOn w:val="Normal"/>
    <w:next w:val="Normal"/>
    <w:link w:val="QuoteChar"/>
    <w:uiPriority w:val="29"/>
    <w:qFormat/>
    <w:rsid w:val="004C346C"/>
    <w:rPr>
      <w:i/>
      <w:iCs/>
      <w:color w:val="000000"/>
      <w:lang w:val="x-none"/>
    </w:rPr>
  </w:style>
  <w:style w:type="character" w:customStyle="1" w:styleId="QuoteChar">
    <w:name w:val="Quote Char"/>
    <w:link w:val="Quote"/>
    <w:uiPriority w:val="29"/>
    <w:rsid w:val="004C346C"/>
    <w:rPr>
      <w:i/>
      <w:iCs/>
      <w:color w:val="000000"/>
      <w:sz w:val="22"/>
      <w:szCs w:val="22"/>
      <w:lang w:eastAsia="en-US"/>
    </w:rPr>
  </w:style>
  <w:style w:type="character" w:customStyle="1" w:styleId="economicspagetitles">
    <w:name w:val="economicspagetitles"/>
    <w:rsid w:val="00585481"/>
  </w:style>
  <w:style w:type="paragraph" w:styleId="IntenseQuote">
    <w:name w:val="Intense Quote"/>
    <w:basedOn w:val="Normal"/>
    <w:next w:val="Normal"/>
    <w:link w:val="IntenseQuoteChar"/>
    <w:uiPriority w:val="30"/>
    <w:qFormat/>
    <w:rsid w:val="0077704C"/>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sid w:val="0077704C"/>
    <w:rPr>
      <w:b/>
      <w:bCs/>
      <w:i/>
      <w:iCs/>
      <w:color w:val="4F81BD"/>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A7"/>
    <w:pPr>
      <w:spacing w:after="200" w:line="276" w:lineRule="auto"/>
    </w:pPr>
    <w:rPr>
      <w:sz w:val="22"/>
      <w:szCs w:val="22"/>
      <w:lang w:eastAsia="en-US"/>
    </w:rPr>
  </w:style>
  <w:style w:type="paragraph" w:styleId="Heading1">
    <w:name w:val="heading 1"/>
    <w:basedOn w:val="Normal"/>
    <w:next w:val="Normal"/>
    <w:link w:val="Heading1Char"/>
    <w:uiPriority w:val="9"/>
    <w:qFormat/>
    <w:rsid w:val="00585481"/>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unhideWhenUsed/>
    <w:qFormat/>
    <w:rsid w:val="00BC6BFB"/>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5481"/>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BC6BFB"/>
    <w:rPr>
      <w:rFonts w:ascii="Cambria" w:eastAsia="Times New Roman" w:hAnsi="Cambria" w:cs="Times New Roman"/>
      <w:b/>
      <w:bCs/>
      <w:color w:val="4F81BD"/>
      <w:sz w:val="26"/>
      <w:szCs w:val="26"/>
    </w:rPr>
  </w:style>
  <w:style w:type="paragraph" w:styleId="ListParagraph">
    <w:name w:val="List Paragraph"/>
    <w:basedOn w:val="Normal"/>
    <w:uiPriority w:val="34"/>
    <w:qFormat/>
    <w:rsid w:val="00BC6BFB"/>
    <w:pPr>
      <w:ind w:left="720"/>
      <w:contextualSpacing/>
    </w:pPr>
  </w:style>
  <w:style w:type="character" w:styleId="SubtleEmphasis">
    <w:name w:val="Subtle Emphasis"/>
    <w:uiPriority w:val="19"/>
    <w:qFormat/>
    <w:rsid w:val="00BC6BFB"/>
    <w:rPr>
      <w:i/>
      <w:iCs/>
      <w:color w:val="808080"/>
    </w:rPr>
  </w:style>
  <w:style w:type="character" w:styleId="Emphasis">
    <w:name w:val="Emphasis"/>
    <w:uiPriority w:val="20"/>
    <w:qFormat/>
    <w:rsid w:val="00BC6BFB"/>
    <w:rPr>
      <w:i/>
      <w:iCs/>
    </w:rPr>
  </w:style>
  <w:style w:type="character" w:styleId="IntenseEmphasis">
    <w:name w:val="Intense Emphasis"/>
    <w:uiPriority w:val="21"/>
    <w:qFormat/>
    <w:rsid w:val="00BC6BFB"/>
    <w:rPr>
      <w:b/>
      <w:bCs/>
      <w:i/>
      <w:iCs/>
      <w:color w:val="4F81BD"/>
    </w:rPr>
  </w:style>
  <w:style w:type="paragraph" w:styleId="Title">
    <w:name w:val="Title"/>
    <w:basedOn w:val="Normal"/>
    <w:next w:val="Normal"/>
    <w:link w:val="TitleChar"/>
    <w:uiPriority w:val="10"/>
    <w:qFormat/>
    <w:rsid w:val="00BC6BFB"/>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BC6BFB"/>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BC6BFB"/>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BC6BFB"/>
    <w:rPr>
      <w:rFonts w:ascii="Cambria" w:eastAsia="Times New Roman" w:hAnsi="Cambria" w:cs="Times New Roman"/>
      <w:i/>
      <w:iCs/>
      <w:color w:val="4F81BD"/>
      <w:spacing w:val="15"/>
      <w:sz w:val="24"/>
      <w:szCs w:val="24"/>
    </w:rPr>
  </w:style>
  <w:style w:type="character" w:styleId="Hyperlink">
    <w:name w:val="Hyperlink"/>
    <w:uiPriority w:val="99"/>
    <w:unhideWhenUsed/>
    <w:rsid w:val="00E70213"/>
    <w:rPr>
      <w:color w:val="0000FF"/>
      <w:u w:val="single"/>
    </w:rPr>
  </w:style>
  <w:style w:type="paragraph" w:styleId="NormalWeb">
    <w:name w:val="Normal (Web)"/>
    <w:basedOn w:val="Normal"/>
    <w:uiPriority w:val="99"/>
    <w:unhideWhenUsed/>
    <w:rsid w:val="0089383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style-span">
    <w:name w:val="apple-style-span"/>
    <w:basedOn w:val="DefaultParagraphFont"/>
    <w:rsid w:val="007B666E"/>
  </w:style>
  <w:style w:type="character" w:customStyle="1" w:styleId="apple-converted-space">
    <w:name w:val="apple-converted-space"/>
    <w:basedOn w:val="DefaultParagraphFont"/>
    <w:rsid w:val="007B666E"/>
  </w:style>
  <w:style w:type="character" w:styleId="Strong">
    <w:name w:val="Strong"/>
    <w:uiPriority w:val="22"/>
    <w:qFormat/>
    <w:rsid w:val="007B666E"/>
    <w:rPr>
      <w:b/>
      <w:bCs/>
    </w:rPr>
  </w:style>
  <w:style w:type="paragraph" w:customStyle="1" w:styleId="cnstorysubtitle">
    <w:name w:val="cn_story_subtitle"/>
    <w:basedOn w:val="Normal"/>
    <w:rsid w:val="00844F5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AD0CFE"/>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D0CFE"/>
    <w:rPr>
      <w:rFonts w:ascii="Tahoma" w:hAnsi="Tahoma" w:cs="Tahoma"/>
      <w:sz w:val="16"/>
      <w:szCs w:val="16"/>
      <w:lang w:eastAsia="en-US"/>
    </w:rPr>
  </w:style>
  <w:style w:type="paragraph" w:customStyle="1" w:styleId="Default">
    <w:name w:val="Default"/>
    <w:rsid w:val="00252B45"/>
    <w:pPr>
      <w:widowControl w:val="0"/>
      <w:autoSpaceDE w:val="0"/>
      <w:autoSpaceDN w:val="0"/>
      <w:adjustRightInd w:val="0"/>
    </w:pPr>
    <w:rPr>
      <w:rFonts w:ascii="Helvetica" w:eastAsia="Times New Roman" w:hAnsi="Helvetica" w:cs="Helvetica"/>
      <w:color w:val="000000"/>
      <w:sz w:val="24"/>
      <w:szCs w:val="24"/>
    </w:rPr>
  </w:style>
  <w:style w:type="paragraph" w:styleId="Quote">
    <w:name w:val="Quote"/>
    <w:basedOn w:val="Normal"/>
    <w:next w:val="Normal"/>
    <w:link w:val="QuoteChar"/>
    <w:uiPriority w:val="29"/>
    <w:qFormat/>
    <w:rsid w:val="004C346C"/>
    <w:rPr>
      <w:i/>
      <w:iCs/>
      <w:color w:val="000000"/>
      <w:lang w:val="x-none"/>
    </w:rPr>
  </w:style>
  <w:style w:type="character" w:customStyle="1" w:styleId="QuoteChar">
    <w:name w:val="Quote Char"/>
    <w:link w:val="Quote"/>
    <w:uiPriority w:val="29"/>
    <w:rsid w:val="004C346C"/>
    <w:rPr>
      <w:i/>
      <w:iCs/>
      <w:color w:val="000000"/>
      <w:sz w:val="22"/>
      <w:szCs w:val="22"/>
      <w:lang w:eastAsia="en-US"/>
    </w:rPr>
  </w:style>
  <w:style w:type="character" w:customStyle="1" w:styleId="economicspagetitles">
    <w:name w:val="economicspagetitles"/>
    <w:rsid w:val="00585481"/>
  </w:style>
  <w:style w:type="paragraph" w:styleId="IntenseQuote">
    <w:name w:val="Intense Quote"/>
    <w:basedOn w:val="Normal"/>
    <w:next w:val="Normal"/>
    <w:link w:val="IntenseQuoteChar"/>
    <w:uiPriority w:val="30"/>
    <w:qFormat/>
    <w:rsid w:val="0077704C"/>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sid w:val="0077704C"/>
    <w:rPr>
      <w:b/>
      <w:bCs/>
      <w:i/>
      <w:iCs/>
      <w:color w:val="4F81B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6750">
      <w:bodyDiv w:val="1"/>
      <w:marLeft w:val="0"/>
      <w:marRight w:val="0"/>
      <w:marTop w:val="0"/>
      <w:marBottom w:val="0"/>
      <w:divBdr>
        <w:top w:val="none" w:sz="0" w:space="0" w:color="auto"/>
        <w:left w:val="none" w:sz="0" w:space="0" w:color="auto"/>
        <w:bottom w:val="none" w:sz="0" w:space="0" w:color="auto"/>
        <w:right w:val="none" w:sz="0" w:space="0" w:color="auto"/>
      </w:divBdr>
      <w:divsChild>
        <w:div w:id="1331133677">
          <w:marLeft w:val="0"/>
          <w:marRight w:val="0"/>
          <w:marTop w:val="0"/>
          <w:marBottom w:val="0"/>
          <w:divBdr>
            <w:top w:val="single" w:sz="6" w:space="0" w:color="009966"/>
            <w:left w:val="none" w:sz="0" w:space="0" w:color="auto"/>
            <w:bottom w:val="single" w:sz="6" w:space="0" w:color="009966"/>
            <w:right w:val="none" w:sz="0" w:space="0" w:color="auto"/>
          </w:divBdr>
        </w:div>
        <w:div w:id="1908414916">
          <w:marLeft w:val="0"/>
          <w:marRight w:val="0"/>
          <w:marTop w:val="0"/>
          <w:marBottom w:val="0"/>
          <w:divBdr>
            <w:top w:val="single" w:sz="6" w:space="0" w:color="009966"/>
            <w:left w:val="none" w:sz="0" w:space="0" w:color="auto"/>
            <w:bottom w:val="single" w:sz="6" w:space="0" w:color="009966"/>
            <w:right w:val="none" w:sz="0" w:space="0" w:color="auto"/>
          </w:divBdr>
        </w:div>
        <w:div w:id="1923448259">
          <w:marLeft w:val="0"/>
          <w:marRight w:val="0"/>
          <w:marTop w:val="0"/>
          <w:marBottom w:val="0"/>
          <w:divBdr>
            <w:top w:val="single" w:sz="6" w:space="0" w:color="009966"/>
            <w:left w:val="none" w:sz="0" w:space="0" w:color="auto"/>
            <w:bottom w:val="single" w:sz="6" w:space="0" w:color="009966"/>
            <w:right w:val="none" w:sz="0" w:space="0" w:color="auto"/>
          </w:divBdr>
        </w:div>
        <w:div w:id="2110004139">
          <w:marLeft w:val="0"/>
          <w:marRight w:val="0"/>
          <w:marTop w:val="0"/>
          <w:marBottom w:val="0"/>
          <w:divBdr>
            <w:top w:val="single" w:sz="6" w:space="0" w:color="009966"/>
            <w:left w:val="none" w:sz="0" w:space="0" w:color="auto"/>
            <w:bottom w:val="single" w:sz="6" w:space="0" w:color="009966"/>
            <w:right w:val="none" w:sz="0" w:space="0" w:color="auto"/>
          </w:divBdr>
        </w:div>
      </w:divsChild>
    </w:div>
    <w:div w:id="12971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39382">
          <w:marLeft w:val="0"/>
          <w:marRight w:val="0"/>
          <w:marTop w:val="0"/>
          <w:marBottom w:val="0"/>
          <w:divBdr>
            <w:top w:val="single" w:sz="6" w:space="0" w:color="009966"/>
            <w:left w:val="none" w:sz="0" w:space="0" w:color="auto"/>
            <w:bottom w:val="single" w:sz="6" w:space="0" w:color="009966"/>
            <w:right w:val="none" w:sz="0" w:space="0" w:color="auto"/>
          </w:divBdr>
        </w:div>
      </w:divsChild>
    </w:div>
    <w:div w:id="271985616">
      <w:bodyDiv w:val="1"/>
      <w:marLeft w:val="0"/>
      <w:marRight w:val="0"/>
      <w:marTop w:val="0"/>
      <w:marBottom w:val="0"/>
      <w:divBdr>
        <w:top w:val="none" w:sz="0" w:space="0" w:color="auto"/>
        <w:left w:val="none" w:sz="0" w:space="0" w:color="auto"/>
        <w:bottom w:val="none" w:sz="0" w:space="0" w:color="auto"/>
        <w:right w:val="none" w:sz="0" w:space="0" w:color="auto"/>
      </w:divBdr>
      <w:divsChild>
        <w:div w:id="93332092">
          <w:marLeft w:val="0"/>
          <w:marRight w:val="0"/>
          <w:marTop w:val="0"/>
          <w:marBottom w:val="0"/>
          <w:divBdr>
            <w:top w:val="single" w:sz="6" w:space="0" w:color="009966"/>
            <w:left w:val="none" w:sz="0" w:space="0" w:color="auto"/>
            <w:bottom w:val="single" w:sz="6" w:space="0" w:color="009966"/>
            <w:right w:val="none" w:sz="0" w:space="0" w:color="auto"/>
          </w:divBdr>
        </w:div>
        <w:div w:id="548998281">
          <w:marLeft w:val="0"/>
          <w:marRight w:val="0"/>
          <w:marTop w:val="0"/>
          <w:marBottom w:val="0"/>
          <w:divBdr>
            <w:top w:val="single" w:sz="6" w:space="0" w:color="009966"/>
            <w:left w:val="none" w:sz="0" w:space="0" w:color="auto"/>
            <w:bottom w:val="single" w:sz="6" w:space="0" w:color="009966"/>
            <w:right w:val="none" w:sz="0" w:space="0" w:color="auto"/>
          </w:divBdr>
        </w:div>
        <w:div w:id="602299320">
          <w:marLeft w:val="0"/>
          <w:marRight w:val="0"/>
          <w:marTop w:val="0"/>
          <w:marBottom w:val="0"/>
          <w:divBdr>
            <w:top w:val="single" w:sz="6" w:space="0" w:color="009966"/>
            <w:left w:val="none" w:sz="0" w:space="0" w:color="auto"/>
            <w:bottom w:val="single" w:sz="6" w:space="0" w:color="009966"/>
            <w:right w:val="none" w:sz="0" w:space="0" w:color="auto"/>
          </w:divBdr>
        </w:div>
        <w:div w:id="740907911">
          <w:marLeft w:val="0"/>
          <w:marRight w:val="0"/>
          <w:marTop w:val="0"/>
          <w:marBottom w:val="0"/>
          <w:divBdr>
            <w:top w:val="single" w:sz="6" w:space="0" w:color="009966"/>
            <w:left w:val="none" w:sz="0" w:space="0" w:color="auto"/>
            <w:bottom w:val="single" w:sz="6" w:space="0" w:color="009966"/>
            <w:right w:val="none" w:sz="0" w:space="0" w:color="auto"/>
          </w:divBdr>
        </w:div>
        <w:div w:id="950167386">
          <w:marLeft w:val="0"/>
          <w:marRight w:val="0"/>
          <w:marTop w:val="0"/>
          <w:marBottom w:val="0"/>
          <w:divBdr>
            <w:top w:val="single" w:sz="6" w:space="0" w:color="009966"/>
            <w:left w:val="none" w:sz="0" w:space="0" w:color="auto"/>
            <w:bottom w:val="single" w:sz="6" w:space="0" w:color="009966"/>
            <w:right w:val="none" w:sz="0" w:space="0" w:color="auto"/>
          </w:divBdr>
        </w:div>
        <w:div w:id="1733039635">
          <w:marLeft w:val="0"/>
          <w:marRight w:val="0"/>
          <w:marTop w:val="0"/>
          <w:marBottom w:val="0"/>
          <w:divBdr>
            <w:top w:val="single" w:sz="6" w:space="0" w:color="009966"/>
            <w:left w:val="none" w:sz="0" w:space="0" w:color="auto"/>
            <w:bottom w:val="single" w:sz="6" w:space="0" w:color="009966"/>
            <w:right w:val="none" w:sz="0" w:space="0" w:color="auto"/>
          </w:divBdr>
        </w:div>
        <w:div w:id="1814641969">
          <w:marLeft w:val="0"/>
          <w:marRight w:val="0"/>
          <w:marTop w:val="0"/>
          <w:marBottom w:val="0"/>
          <w:divBdr>
            <w:top w:val="single" w:sz="6" w:space="0" w:color="009966"/>
            <w:left w:val="none" w:sz="0" w:space="0" w:color="auto"/>
            <w:bottom w:val="single" w:sz="6" w:space="0" w:color="009966"/>
            <w:right w:val="none" w:sz="0" w:space="0" w:color="auto"/>
          </w:divBdr>
        </w:div>
      </w:divsChild>
    </w:div>
    <w:div w:id="301080846">
      <w:bodyDiv w:val="1"/>
      <w:marLeft w:val="0"/>
      <w:marRight w:val="0"/>
      <w:marTop w:val="0"/>
      <w:marBottom w:val="0"/>
      <w:divBdr>
        <w:top w:val="none" w:sz="0" w:space="0" w:color="auto"/>
        <w:left w:val="none" w:sz="0" w:space="0" w:color="auto"/>
        <w:bottom w:val="none" w:sz="0" w:space="0" w:color="auto"/>
        <w:right w:val="none" w:sz="0" w:space="0" w:color="auto"/>
      </w:divBdr>
    </w:div>
    <w:div w:id="337466898">
      <w:bodyDiv w:val="1"/>
      <w:marLeft w:val="0"/>
      <w:marRight w:val="0"/>
      <w:marTop w:val="0"/>
      <w:marBottom w:val="0"/>
      <w:divBdr>
        <w:top w:val="none" w:sz="0" w:space="0" w:color="auto"/>
        <w:left w:val="none" w:sz="0" w:space="0" w:color="auto"/>
        <w:bottom w:val="none" w:sz="0" w:space="0" w:color="auto"/>
        <w:right w:val="none" w:sz="0" w:space="0" w:color="auto"/>
      </w:divBdr>
      <w:divsChild>
        <w:div w:id="425614179">
          <w:marLeft w:val="0"/>
          <w:marRight w:val="0"/>
          <w:marTop w:val="0"/>
          <w:marBottom w:val="0"/>
          <w:divBdr>
            <w:top w:val="single" w:sz="6" w:space="0" w:color="009966"/>
            <w:left w:val="none" w:sz="0" w:space="0" w:color="auto"/>
            <w:bottom w:val="single" w:sz="6" w:space="0" w:color="009966"/>
            <w:right w:val="none" w:sz="0" w:space="0" w:color="auto"/>
          </w:divBdr>
        </w:div>
        <w:div w:id="582688989">
          <w:marLeft w:val="0"/>
          <w:marRight w:val="0"/>
          <w:marTop w:val="0"/>
          <w:marBottom w:val="0"/>
          <w:divBdr>
            <w:top w:val="single" w:sz="6" w:space="0" w:color="009966"/>
            <w:left w:val="none" w:sz="0" w:space="0" w:color="auto"/>
            <w:bottom w:val="single" w:sz="6" w:space="0" w:color="009966"/>
            <w:right w:val="none" w:sz="0" w:space="0" w:color="auto"/>
          </w:divBdr>
        </w:div>
      </w:divsChild>
    </w:div>
    <w:div w:id="432241541">
      <w:bodyDiv w:val="1"/>
      <w:marLeft w:val="0"/>
      <w:marRight w:val="0"/>
      <w:marTop w:val="0"/>
      <w:marBottom w:val="0"/>
      <w:divBdr>
        <w:top w:val="none" w:sz="0" w:space="0" w:color="auto"/>
        <w:left w:val="none" w:sz="0" w:space="0" w:color="auto"/>
        <w:bottom w:val="none" w:sz="0" w:space="0" w:color="auto"/>
        <w:right w:val="none" w:sz="0" w:space="0" w:color="auto"/>
      </w:divBdr>
      <w:divsChild>
        <w:div w:id="1135411506">
          <w:marLeft w:val="0"/>
          <w:marRight w:val="0"/>
          <w:marTop w:val="0"/>
          <w:marBottom w:val="0"/>
          <w:divBdr>
            <w:top w:val="single" w:sz="6" w:space="0" w:color="009966"/>
            <w:left w:val="none" w:sz="0" w:space="0" w:color="auto"/>
            <w:bottom w:val="single" w:sz="6" w:space="0" w:color="009966"/>
            <w:right w:val="none" w:sz="0" w:space="0" w:color="auto"/>
          </w:divBdr>
        </w:div>
        <w:div w:id="1223057780">
          <w:marLeft w:val="0"/>
          <w:marRight w:val="0"/>
          <w:marTop w:val="0"/>
          <w:marBottom w:val="0"/>
          <w:divBdr>
            <w:top w:val="single" w:sz="6" w:space="0" w:color="009966"/>
            <w:left w:val="none" w:sz="0" w:space="0" w:color="auto"/>
            <w:bottom w:val="single" w:sz="6" w:space="0" w:color="009966"/>
            <w:right w:val="none" w:sz="0" w:space="0" w:color="auto"/>
          </w:divBdr>
        </w:div>
      </w:divsChild>
    </w:div>
    <w:div w:id="489759109">
      <w:bodyDiv w:val="1"/>
      <w:marLeft w:val="0"/>
      <w:marRight w:val="0"/>
      <w:marTop w:val="0"/>
      <w:marBottom w:val="0"/>
      <w:divBdr>
        <w:top w:val="none" w:sz="0" w:space="0" w:color="auto"/>
        <w:left w:val="none" w:sz="0" w:space="0" w:color="auto"/>
        <w:bottom w:val="none" w:sz="0" w:space="0" w:color="auto"/>
        <w:right w:val="none" w:sz="0" w:space="0" w:color="auto"/>
      </w:divBdr>
      <w:divsChild>
        <w:div w:id="43262496">
          <w:marLeft w:val="0"/>
          <w:marRight w:val="0"/>
          <w:marTop w:val="0"/>
          <w:marBottom w:val="0"/>
          <w:divBdr>
            <w:top w:val="single" w:sz="6" w:space="0" w:color="009966"/>
            <w:left w:val="none" w:sz="0" w:space="0" w:color="auto"/>
            <w:bottom w:val="single" w:sz="6" w:space="0" w:color="009966"/>
            <w:right w:val="none" w:sz="0" w:space="0" w:color="auto"/>
          </w:divBdr>
        </w:div>
        <w:div w:id="744257039">
          <w:marLeft w:val="0"/>
          <w:marRight w:val="0"/>
          <w:marTop w:val="0"/>
          <w:marBottom w:val="0"/>
          <w:divBdr>
            <w:top w:val="single" w:sz="6" w:space="0" w:color="009966"/>
            <w:left w:val="none" w:sz="0" w:space="0" w:color="auto"/>
            <w:bottom w:val="single" w:sz="6" w:space="0" w:color="009966"/>
            <w:right w:val="none" w:sz="0" w:space="0" w:color="auto"/>
          </w:divBdr>
        </w:div>
        <w:div w:id="295644217">
          <w:marLeft w:val="0"/>
          <w:marRight w:val="0"/>
          <w:marTop w:val="0"/>
          <w:marBottom w:val="0"/>
          <w:divBdr>
            <w:top w:val="single" w:sz="6" w:space="0" w:color="009966"/>
            <w:left w:val="none" w:sz="0" w:space="0" w:color="auto"/>
            <w:bottom w:val="single" w:sz="6" w:space="0" w:color="009966"/>
            <w:right w:val="none" w:sz="0" w:space="0" w:color="auto"/>
          </w:divBdr>
        </w:div>
        <w:div w:id="1175461421">
          <w:marLeft w:val="0"/>
          <w:marRight w:val="0"/>
          <w:marTop w:val="0"/>
          <w:marBottom w:val="0"/>
          <w:divBdr>
            <w:top w:val="single" w:sz="6" w:space="0" w:color="009966"/>
            <w:left w:val="none" w:sz="0" w:space="0" w:color="auto"/>
            <w:bottom w:val="single" w:sz="6" w:space="0" w:color="009966"/>
            <w:right w:val="none" w:sz="0" w:space="0" w:color="auto"/>
          </w:divBdr>
        </w:div>
        <w:div w:id="46531665">
          <w:marLeft w:val="0"/>
          <w:marRight w:val="0"/>
          <w:marTop w:val="0"/>
          <w:marBottom w:val="0"/>
          <w:divBdr>
            <w:top w:val="single" w:sz="6" w:space="0" w:color="009966"/>
            <w:left w:val="none" w:sz="0" w:space="0" w:color="auto"/>
            <w:bottom w:val="single" w:sz="6" w:space="0" w:color="009966"/>
            <w:right w:val="none" w:sz="0" w:space="0" w:color="auto"/>
          </w:divBdr>
        </w:div>
      </w:divsChild>
    </w:div>
    <w:div w:id="648439919">
      <w:bodyDiv w:val="1"/>
      <w:marLeft w:val="0"/>
      <w:marRight w:val="0"/>
      <w:marTop w:val="0"/>
      <w:marBottom w:val="0"/>
      <w:divBdr>
        <w:top w:val="none" w:sz="0" w:space="0" w:color="auto"/>
        <w:left w:val="none" w:sz="0" w:space="0" w:color="auto"/>
        <w:bottom w:val="none" w:sz="0" w:space="0" w:color="auto"/>
        <w:right w:val="none" w:sz="0" w:space="0" w:color="auto"/>
      </w:divBdr>
      <w:divsChild>
        <w:div w:id="1193179974">
          <w:marLeft w:val="0"/>
          <w:marRight w:val="0"/>
          <w:marTop w:val="0"/>
          <w:marBottom w:val="0"/>
          <w:divBdr>
            <w:top w:val="single" w:sz="6" w:space="0" w:color="009966"/>
            <w:left w:val="none" w:sz="0" w:space="0" w:color="auto"/>
            <w:bottom w:val="single" w:sz="6" w:space="0" w:color="009966"/>
            <w:right w:val="none" w:sz="0" w:space="0" w:color="auto"/>
          </w:divBdr>
        </w:div>
        <w:div w:id="1662808211">
          <w:marLeft w:val="0"/>
          <w:marRight w:val="0"/>
          <w:marTop w:val="0"/>
          <w:marBottom w:val="0"/>
          <w:divBdr>
            <w:top w:val="single" w:sz="6" w:space="0" w:color="009966"/>
            <w:left w:val="none" w:sz="0" w:space="0" w:color="auto"/>
            <w:bottom w:val="single" w:sz="6" w:space="0" w:color="009966"/>
            <w:right w:val="none" w:sz="0" w:space="0" w:color="auto"/>
          </w:divBdr>
        </w:div>
      </w:divsChild>
    </w:div>
    <w:div w:id="759526589">
      <w:bodyDiv w:val="1"/>
      <w:marLeft w:val="0"/>
      <w:marRight w:val="0"/>
      <w:marTop w:val="0"/>
      <w:marBottom w:val="0"/>
      <w:divBdr>
        <w:top w:val="none" w:sz="0" w:space="0" w:color="auto"/>
        <w:left w:val="none" w:sz="0" w:space="0" w:color="auto"/>
        <w:bottom w:val="none" w:sz="0" w:space="0" w:color="auto"/>
        <w:right w:val="none" w:sz="0" w:space="0" w:color="auto"/>
      </w:divBdr>
      <w:divsChild>
        <w:div w:id="221865693">
          <w:marLeft w:val="0"/>
          <w:marRight w:val="0"/>
          <w:marTop w:val="0"/>
          <w:marBottom w:val="0"/>
          <w:divBdr>
            <w:top w:val="single" w:sz="6" w:space="0" w:color="009966"/>
            <w:left w:val="none" w:sz="0" w:space="0" w:color="auto"/>
            <w:bottom w:val="single" w:sz="6" w:space="0" w:color="009966"/>
            <w:right w:val="none" w:sz="0" w:space="0" w:color="auto"/>
          </w:divBdr>
        </w:div>
        <w:div w:id="741605799">
          <w:marLeft w:val="0"/>
          <w:marRight w:val="0"/>
          <w:marTop w:val="0"/>
          <w:marBottom w:val="0"/>
          <w:divBdr>
            <w:top w:val="single" w:sz="6" w:space="0" w:color="009966"/>
            <w:left w:val="none" w:sz="0" w:space="0" w:color="auto"/>
            <w:bottom w:val="single" w:sz="6" w:space="0" w:color="009966"/>
            <w:right w:val="none" w:sz="0" w:space="0" w:color="auto"/>
          </w:divBdr>
        </w:div>
        <w:div w:id="911159739">
          <w:marLeft w:val="0"/>
          <w:marRight w:val="0"/>
          <w:marTop w:val="0"/>
          <w:marBottom w:val="0"/>
          <w:divBdr>
            <w:top w:val="single" w:sz="6" w:space="0" w:color="009966"/>
            <w:left w:val="none" w:sz="0" w:space="0" w:color="auto"/>
            <w:bottom w:val="single" w:sz="6" w:space="0" w:color="009966"/>
            <w:right w:val="none" w:sz="0" w:space="0" w:color="auto"/>
          </w:divBdr>
        </w:div>
        <w:div w:id="1376194779">
          <w:marLeft w:val="0"/>
          <w:marRight w:val="0"/>
          <w:marTop w:val="0"/>
          <w:marBottom w:val="0"/>
          <w:divBdr>
            <w:top w:val="single" w:sz="6" w:space="0" w:color="009966"/>
            <w:left w:val="none" w:sz="0" w:space="0" w:color="auto"/>
            <w:bottom w:val="single" w:sz="6" w:space="0" w:color="009966"/>
            <w:right w:val="none" w:sz="0" w:space="0" w:color="auto"/>
          </w:divBdr>
        </w:div>
        <w:div w:id="1795564970">
          <w:marLeft w:val="0"/>
          <w:marRight w:val="0"/>
          <w:marTop w:val="0"/>
          <w:marBottom w:val="0"/>
          <w:divBdr>
            <w:top w:val="single" w:sz="6" w:space="0" w:color="009966"/>
            <w:left w:val="none" w:sz="0" w:space="0" w:color="auto"/>
            <w:bottom w:val="single" w:sz="6" w:space="0" w:color="009966"/>
            <w:right w:val="none" w:sz="0" w:space="0" w:color="auto"/>
          </w:divBdr>
        </w:div>
      </w:divsChild>
    </w:div>
    <w:div w:id="836263667">
      <w:bodyDiv w:val="1"/>
      <w:marLeft w:val="0"/>
      <w:marRight w:val="0"/>
      <w:marTop w:val="0"/>
      <w:marBottom w:val="0"/>
      <w:divBdr>
        <w:top w:val="none" w:sz="0" w:space="0" w:color="auto"/>
        <w:left w:val="none" w:sz="0" w:space="0" w:color="auto"/>
        <w:bottom w:val="none" w:sz="0" w:space="0" w:color="auto"/>
        <w:right w:val="none" w:sz="0" w:space="0" w:color="auto"/>
      </w:divBdr>
      <w:divsChild>
        <w:div w:id="1222474319">
          <w:marLeft w:val="0"/>
          <w:marRight w:val="0"/>
          <w:marTop w:val="0"/>
          <w:marBottom w:val="0"/>
          <w:divBdr>
            <w:top w:val="single" w:sz="6" w:space="0" w:color="009966"/>
            <w:left w:val="none" w:sz="0" w:space="0" w:color="auto"/>
            <w:bottom w:val="single" w:sz="6" w:space="0" w:color="009966"/>
            <w:right w:val="none" w:sz="0" w:space="0" w:color="auto"/>
          </w:divBdr>
        </w:div>
        <w:div w:id="2043550614">
          <w:marLeft w:val="0"/>
          <w:marRight w:val="0"/>
          <w:marTop w:val="0"/>
          <w:marBottom w:val="0"/>
          <w:divBdr>
            <w:top w:val="single" w:sz="6" w:space="0" w:color="009966"/>
            <w:left w:val="none" w:sz="0" w:space="0" w:color="auto"/>
            <w:bottom w:val="single" w:sz="6" w:space="0" w:color="009966"/>
            <w:right w:val="none" w:sz="0" w:space="0" w:color="auto"/>
          </w:divBdr>
        </w:div>
      </w:divsChild>
    </w:div>
    <w:div w:id="925848127">
      <w:bodyDiv w:val="1"/>
      <w:marLeft w:val="0"/>
      <w:marRight w:val="0"/>
      <w:marTop w:val="0"/>
      <w:marBottom w:val="0"/>
      <w:divBdr>
        <w:top w:val="none" w:sz="0" w:space="0" w:color="auto"/>
        <w:left w:val="none" w:sz="0" w:space="0" w:color="auto"/>
        <w:bottom w:val="none" w:sz="0" w:space="0" w:color="auto"/>
        <w:right w:val="none" w:sz="0" w:space="0" w:color="auto"/>
      </w:divBdr>
      <w:divsChild>
        <w:div w:id="1251810417">
          <w:marLeft w:val="0"/>
          <w:marRight w:val="0"/>
          <w:marTop w:val="0"/>
          <w:marBottom w:val="0"/>
          <w:divBdr>
            <w:top w:val="single" w:sz="6" w:space="0" w:color="009966"/>
            <w:left w:val="none" w:sz="0" w:space="0" w:color="auto"/>
            <w:bottom w:val="single" w:sz="6" w:space="0" w:color="009966"/>
            <w:right w:val="none" w:sz="0" w:space="0" w:color="auto"/>
          </w:divBdr>
        </w:div>
        <w:div w:id="1200049501">
          <w:marLeft w:val="0"/>
          <w:marRight w:val="0"/>
          <w:marTop w:val="0"/>
          <w:marBottom w:val="0"/>
          <w:divBdr>
            <w:top w:val="single" w:sz="6" w:space="0" w:color="009966"/>
            <w:left w:val="none" w:sz="0" w:space="0" w:color="auto"/>
            <w:bottom w:val="single" w:sz="6" w:space="0" w:color="009966"/>
            <w:right w:val="none" w:sz="0" w:space="0" w:color="auto"/>
          </w:divBdr>
        </w:div>
        <w:div w:id="267733843">
          <w:marLeft w:val="0"/>
          <w:marRight w:val="0"/>
          <w:marTop w:val="0"/>
          <w:marBottom w:val="0"/>
          <w:divBdr>
            <w:top w:val="single" w:sz="6" w:space="0" w:color="009966"/>
            <w:left w:val="none" w:sz="0" w:space="0" w:color="auto"/>
            <w:bottom w:val="single" w:sz="6" w:space="0" w:color="009966"/>
            <w:right w:val="none" w:sz="0" w:space="0" w:color="auto"/>
          </w:divBdr>
        </w:div>
        <w:div w:id="529730207">
          <w:marLeft w:val="0"/>
          <w:marRight w:val="0"/>
          <w:marTop w:val="0"/>
          <w:marBottom w:val="0"/>
          <w:divBdr>
            <w:top w:val="single" w:sz="6" w:space="0" w:color="009966"/>
            <w:left w:val="none" w:sz="0" w:space="0" w:color="auto"/>
            <w:bottom w:val="single" w:sz="6" w:space="0" w:color="009966"/>
            <w:right w:val="none" w:sz="0" w:space="0" w:color="auto"/>
          </w:divBdr>
        </w:div>
        <w:div w:id="999845097">
          <w:marLeft w:val="0"/>
          <w:marRight w:val="0"/>
          <w:marTop w:val="0"/>
          <w:marBottom w:val="0"/>
          <w:divBdr>
            <w:top w:val="single" w:sz="6" w:space="0" w:color="009966"/>
            <w:left w:val="none" w:sz="0" w:space="0" w:color="auto"/>
            <w:bottom w:val="single" w:sz="6" w:space="0" w:color="009966"/>
            <w:right w:val="none" w:sz="0" w:space="0" w:color="auto"/>
          </w:divBdr>
        </w:div>
        <w:div w:id="395512472">
          <w:marLeft w:val="0"/>
          <w:marRight w:val="0"/>
          <w:marTop w:val="0"/>
          <w:marBottom w:val="0"/>
          <w:divBdr>
            <w:top w:val="single" w:sz="6" w:space="0" w:color="009966"/>
            <w:left w:val="none" w:sz="0" w:space="0" w:color="auto"/>
            <w:bottom w:val="single" w:sz="6" w:space="0" w:color="009966"/>
            <w:right w:val="none" w:sz="0" w:space="0" w:color="auto"/>
          </w:divBdr>
        </w:div>
      </w:divsChild>
    </w:div>
    <w:div w:id="1010523058">
      <w:bodyDiv w:val="1"/>
      <w:marLeft w:val="0"/>
      <w:marRight w:val="0"/>
      <w:marTop w:val="0"/>
      <w:marBottom w:val="0"/>
      <w:divBdr>
        <w:top w:val="none" w:sz="0" w:space="0" w:color="auto"/>
        <w:left w:val="none" w:sz="0" w:space="0" w:color="auto"/>
        <w:bottom w:val="none" w:sz="0" w:space="0" w:color="auto"/>
        <w:right w:val="none" w:sz="0" w:space="0" w:color="auto"/>
      </w:divBdr>
      <w:divsChild>
        <w:div w:id="433282708">
          <w:marLeft w:val="0"/>
          <w:marRight w:val="0"/>
          <w:marTop w:val="0"/>
          <w:marBottom w:val="0"/>
          <w:divBdr>
            <w:top w:val="none" w:sz="0" w:space="0" w:color="auto"/>
            <w:left w:val="none" w:sz="0" w:space="0" w:color="auto"/>
            <w:bottom w:val="none" w:sz="0" w:space="0" w:color="auto"/>
            <w:right w:val="none" w:sz="0" w:space="0" w:color="auto"/>
          </w:divBdr>
        </w:div>
        <w:div w:id="742872562">
          <w:marLeft w:val="0"/>
          <w:marRight w:val="0"/>
          <w:marTop w:val="0"/>
          <w:marBottom w:val="0"/>
          <w:divBdr>
            <w:top w:val="none" w:sz="0" w:space="0" w:color="auto"/>
            <w:left w:val="none" w:sz="0" w:space="0" w:color="auto"/>
            <w:bottom w:val="none" w:sz="0" w:space="0" w:color="auto"/>
            <w:right w:val="none" w:sz="0" w:space="0" w:color="auto"/>
          </w:divBdr>
          <w:divsChild>
            <w:div w:id="1012103027">
              <w:marLeft w:val="0"/>
              <w:marRight w:val="0"/>
              <w:marTop w:val="0"/>
              <w:marBottom w:val="0"/>
              <w:divBdr>
                <w:top w:val="single" w:sz="6" w:space="15" w:color="E7E7EF"/>
                <w:left w:val="single" w:sz="6" w:space="15" w:color="E7E7EF"/>
                <w:bottom w:val="single" w:sz="6" w:space="15" w:color="E7E7EF"/>
                <w:right w:val="single" w:sz="6" w:space="15" w:color="E7E7EF"/>
              </w:divBdr>
              <w:divsChild>
                <w:div w:id="1429278861">
                  <w:marLeft w:val="0"/>
                  <w:marRight w:val="0"/>
                  <w:marTop w:val="0"/>
                  <w:marBottom w:val="0"/>
                  <w:divBdr>
                    <w:top w:val="none" w:sz="0" w:space="0" w:color="auto"/>
                    <w:left w:val="none" w:sz="0" w:space="0" w:color="auto"/>
                    <w:bottom w:val="none" w:sz="0" w:space="0" w:color="auto"/>
                    <w:right w:val="none" w:sz="0" w:space="0" w:color="auto"/>
                  </w:divBdr>
                  <w:divsChild>
                    <w:div w:id="308293524">
                      <w:marLeft w:val="300"/>
                      <w:marRight w:val="0"/>
                      <w:marTop w:val="0"/>
                      <w:marBottom w:val="0"/>
                      <w:divBdr>
                        <w:top w:val="none" w:sz="0" w:space="0" w:color="auto"/>
                        <w:left w:val="none" w:sz="0" w:space="0" w:color="auto"/>
                        <w:bottom w:val="none" w:sz="0" w:space="0" w:color="auto"/>
                        <w:right w:val="none" w:sz="0" w:space="0" w:color="auto"/>
                      </w:divBdr>
                      <w:divsChild>
                        <w:div w:id="2938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463676">
          <w:marLeft w:val="0"/>
          <w:marRight w:val="0"/>
          <w:marTop w:val="0"/>
          <w:marBottom w:val="0"/>
          <w:divBdr>
            <w:top w:val="none" w:sz="0" w:space="0" w:color="auto"/>
            <w:left w:val="none" w:sz="0" w:space="0" w:color="auto"/>
            <w:bottom w:val="none" w:sz="0" w:space="0" w:color="auto"/>
            <w:right w:val="none" w:sz="0" w:space="0" w:color="auto"/>
          </w:divBdr>
          <w:divsChild>
            <w:div w:id="1188643220">
              <w:marLeft w:val="0"/>
              <w:marRight w:val="0"/>
              <w:marTop w:val="0"/>
              <w:marBottom w:val="0"/>
              <w:divBdr>
                <w:top w:val="single" w:sz="36" w:space="15" w:color="FAFAFA"/>
                <w:left w:val="single" w:sz="36" w:space="15" w:color="FAFAFA"/>
                <w:bottom w:val="single" w:sz="36" w:space="15" w:color="FAFAFA"/>
                <w:right w:val="single" w:sz="36" w:space="15" w:color="FAFAFA"/>
              </w:divBdr>
            </w:div>
          </w:divsChild>
        </w:div>
        <w:div w:id="1725060563">
          <w:marLeft w:val="0"/>
          <w:marRight w:val="0"/>
          <w:marTop w:val="0"/>
          <w:marBottom w:val="0"/>
          <w:divBdr>
            <w:top w:val="single" w:sz="6" w:space="15" w:color="E7E7EF"/>
            <w:left w:val="single" w:sz="6" w:space="15" w:color="E7E7EF"/>
            <w:bottom w:val="single" w:sz="6" w:space="15" w:color="E7E7EF"/>
            <w:right w:val="single" w:sz="6" w:space="15" w:color="E7E7EF"/>
          </w:divBdr>
          <w:divsChild>
            <w:div w:id="857549056">
              <w:marLeft w:val="0"/>
              <w:marRight w:val="0"/>
              <w:marTop w:val="0"/>
              <w:marBottom w:val="0"/>
              <w:divBdr>
                <w:top w:val="none" w:sz="0" w:space="0" w:color="auto"/>
                <w:left w:val="none" w:sz="0" w:space="0" w:color="auto"/>
                <w:bottom w:val="none" w:sz="0" w:space="0" w:color="auto"/>
                <w:right w:val="none" w:sz="0" w:space="0" w:color="auto"/>
              </w:divBdr>
            </w:div>
            <w:div w:id="1133256025">
              <w:marLeft w:val="0"/>
              <w:marRight w:val="0"/>
              <w:marTop w:val="0"/>
              <w:marBottom w:val="0"/>
              <w:divBdr>
                <w:top w:val="none" w:sz="0" w:space="0" w:color="auto"/>
                <w:left w:val="none" w:sz="0" w:space="0" w:color="auto"/>
                <w:bottom w:val="none" w:sz="0" w:space="0" w:color="auto"/>
                <w:right w:val="none" w:sz="0" w:space="0" w:color="auto"/>
              </w:divBdr>
            </w:div>
            <w:div w:id="1149632635">
              <w:marLeft w:val="0"/>
              <w:marRight w:val="0"/>
              <w:marTop w:val="0"/>
              <w:marBottom w:val="0"/>
              <w:divBdr>
                <w:top w:val="none" w:sz="0" w:space="0" w:color="auto"/>
                <w:left w:val="none" w:sz="0" w:space="0" w:color="auto"/>
                <w:bottom w:val="none" w:sz="0" w:space="0" w:color="auto"/>
                <w:right w:val="none" w:sz="0" w:space="0" w:color="auto"/>
              </w:divBdr>
            </w:div>
            <w:div w:id="1248686644">
              <w:marLeft w:val="0"/>
              <w:marRight w:val="0"/>
              <w:marTop w:val="0"/>
              <w:marBottom w:val="0"/>
              <w:divBdr>
                <w:top w:val="none" w:sz="0" w:space="0" w:color="auto"/>
                <w:left w:val="none" w:sz="0" w:space="0" w:color="auto"/>
                <w:bottom w:val="none" w:sz="0" w:space="0" w:color="auto"/>
                <w:right w:val="none" w:sz="0" w:space="0" w:color="auto"/>
              </w:divBdr>
            </w:div>
            <w:div w:id="1703049853">
              <w:marLeft w:val="0"/>
              <w:marRight w:val="0"/>
              <w:marTop w:val="0"/>
              <w:marBottom w:val="0"/>
              <w:divBdr>
                <w:top w:val="none" w:sz="0" w:space="0" w:color="auto"/>
                <w:left w:val="none" w:sz="0" w:space="0" w:color="auto"/>
                <w:bottom w:val="none" w:sz="0" w:space="0" w:color="auto"/>
                <w:right w:val="none" w:sz="0" w:space="0" w:color="auto"/>
              </w:divBdr>
            </w:div>
            <w:div w:id="1847548163">
              <w:marLeft w:val="0"/>
              <w:marRight w:val="0"/>
              <w:marTop w:val="0"/>
              <w:marBottom w:val="0"/>
              <w:divBdr>
                <w:top w:val="none" w:sz="0" w:space="0" w:color="auto"/>
                <w:left w:val="none" w:sz="0" w:space="0" w:color="auto"/>
                <w:bottom w:val="none" w:sz="0" w:space="0" w:color="auto"/>
                <w:right w:val="none" w:sz="0" w:space="0" w:color="auto"/>
              </w:divBdr>
            </w:div>
            <w:div w:id="1913662986">
              <w:marLeft w:val="0"/>
              <w:marRight w:val="0"/>
              <w:marTop w:val="0"/>
              <w:marBottom w:val="0"/>
              <w:divBdr>
                <w:top w:val="none" w:sz="0" w:space="0" w:color="auto"/>
                <w:left w:val="none" w:sz="0" w:space="0" w:color="auto"/>
                <w:bottom w:val="none" w:sz="0" w:space="0" w:color="auto"/>
                <w:right w:val="none" w:sz="0" w:space="0" w:color="auto"/>
              </w:divBdr>
            </w:div>
            <w:div w:id="1953899378">
              <w:marLeft w:val="0"/>
              <w:marRight w:val="0"/>
              <w:marTop w:val="0"/>
              <w:marBottom w:val="0"/>
              <w:divBdr>
                <w:top w:val="none" w:sz="0" w:space="0" w:color="auto"/>
                <w:left w:val="none" w:sz="0" w:space="0" w:color="auto"/>
                <w:bottom w:val="none" w:sz="0" w:space="0" w:color="auto"/>
                <w:right w:val="none" w:sz="0" w:space="0" w:color="auto"/>
              </w:divBdr>
            </w:div>
            <w:div w:id="1978218568">
              <w:marLeft w:val="0"/>
              <w:marRight w:val="0"/>
              <w:marTop w:val="0"/>
              <w:marBottom w:val="0"/>
              <w:divBdr>
                <w:top w:val="none" w:sz="0" w:space="0" w:color="auto"/>
                <w:left w:val="none" w:sz="0" w:space="0" w:color="auto"/>
                <w:bottom w:val="none" w:sz="0" w:space="0" w:color="auto"/>
                <w:right w:val="none" w:sz="0" w:space="0" w:color="auto"/>
              </w:divBdr>
            </w:div>
            <w:div w:id="2022924948">
              <w:marLeft w:val="0"/>
              <w:marRight w:val="0"/>
              <w:marTop w:val="0"/>
              <w:marBottom w:val="0"/>
              <w:divBdr>
                <w:top w:val="none" w:sz="0" w:space="0" w:color="auto"/>
                <w:left w:val="none" w:sz="0" w:space="0" w:color="auto"/>
                <w:bottom w:val="none" w:sz="0" w:space="0" w:color="auto"/>
                <w:right w:val="none" w:sz="0" w:space="0" w:color="auto"/>
              </w:divBdr>
            </w:div>
            <w:div w:id="2057467258">
              <w:marLeft w:val="0"/>
              <w:marRight w:val="0"/>
              <w:marTop w:val="0"/>
              <w:marBottom w:val="0"/>
              <w:divBdr>
                <w:top w:val="none" w:sz="0" w:space="0" w:color="auto"/>
                <w:left w:val="none" w:sz="0" w:space="0" w:color="auto"/>
                <w:bottom w:val="none" w:sz="0" w:space="0" w:color="auto"/>
                <w:right w:val="none" w:sz="0" w:space="0" w:color="auto"/>
              </w:divBdr>
            </w:div>
          </w:divsChild>
        </w:div>
        <w:div w:id="1963882742">
          <w:marLeft w:val="0"/>
          <w:marRight w:val="0"/>
          <w:marTop w:val="0"/>
          <w:marBottom w:val="0"/>
          <w:divBdr>
            <w:top w:val="none" w:sz="0" w:space="0" w:color="auto"/>
            <w:left w:val="none" w:sz="0" w:space="0" w:color="auto"/>
            <w:bottom w:val="none" w:sz="0" w:space="0" w:color="auto"/>
            <w:right w:val="none" w:sz="0" w:space="0" w:color="auto"/>
          </w:divBdr>
          <w:divsChild>
            <w:div w:id="172958722">
              <w:marLeft w:val="0"/>
              <w:marRight w:val="0"/>
              <w:marTop w:val="0"/>
              <w:marBottom w:val="0"/>
              <w:divBdr>
                <w:top w:val="none" w:sz="0" w:space="0" w:color="auto"/>
                <w:left w:val="none" w:sz="0" w:space="0" w:color="auto"/>
                <w:bottom w:val="none" w:sz="0" w:space="0" w:color="auto"/>
                <w:right w:val="none" w:sz="0" w:space="0" w:color="auto"/>
              </w:divBdr>
            </w:div>
            <w:div w:id="685863741">
              <w:marLeft w:val="0"/>
              <w:marRight w:val="0"/>
              <w:marTop w:val="0"/>
              <w:marBottom w:val="0"/>
              <w:divBdr>
                <w:top w:val="none" w:sz="0" w:space="0" w:color="auto"/>
                <w:left w:val="none" w:sz="0" w:space="0" w:color="auto"/>
                <w:bottom w:val="none" w:sz="0" w:space="0" w:color="auto"/>
                <w:right w:val="none" w:sz="0" w:space="0" w:color="auto"/>
              </w:divBdr>
            </w:div>
            <w:div w:id="1010840542">
              <w:marLeft w:val="0"/>
              <w:marRight w:val="0"/>
              <w:marTop w:val="0"/>
              <w:marBottom w:val="0"/>
              <w:divBdr>
                <w:top w:val="none" w:sz="0" w:space="0" w:color="auto"/>
                <w:left w:val="none" w:sz="0" w:space="0" w:color="auto"/>
                <w:bottom w:val="none" w:sz="0" w:space="0" w:color="auto"/>
                <w:right w:val="none" w:sz="0" w:space="0" w:color="auto"/>
              </w:divBdr>
            </w:div>
          </w:divsChild>
        </w:div>
        <w:div w:id="1998877064">
          <w:marLeft w:val="0"/>
          <w:marRight w:val="0"/>
          <w:marTop w:val="0"/>
          <w:marBottom w:val="0"/>
          <w:divBdr>
            <w:top w:val="none" w:sz="0" w:space="0" w:color="auto"/>
            <w:left w:val="none" w:sz="0" w:space="0" w:color="auto"/>
            <w:bottom w:val="none" w:sz="0" w:space="0" w:color="auto"/>
            <w:right w:val="none" w:sz="0" w:space="0" w:color="auto"/>
          </w:divBdr>
        </w:div>
        <w:div w:id="2017536157">
          <w:marLeft w:val="0"/>
          <w:marRight w:val="0"/>
          <w:marTop w:val="0"/>
          <w:marBottom w:val="0"/>
          <w:divBdr>
            <w:top w:val="none" w:sz="0" w:space="0" w:color="auto"/>
            <w:left w:val="none" w:sz="0" w:space="0" w:color="auto"/>
            <w:bottom w:val="none" w:sz="0" w:space="0" w:color="auto"/>
            <w:right w:val="none" w:sz="0" w:space="0" w:color="auto"/>
          </w:divBdr>
          <w:divsChild>
            <w:div w:id="121195988">
              <w:marLeft w:val="0"/>
              <w:marRight w:val="0"/>
              <w:marTop w:val="0"/>
              <w:marBottom w:val="0"/>
              <w:divBdr>
                <w:top w:val="none" w:sz="0" w:space="0" w:color="auto"/>
                <w:left w:val="none" w:sz="0" w:space="0" w:color="auto"/>
                <w:bottom w:val="none" w:sz="0" w:space="0" w:color="auto"/>
                <w:right w:val="none" w:sz="0" w:space="0" w:color="auto"/>
              </w:divBdr>
            </w:div>
            <w:div w:id="351492823">
              <w:marLeft w:val="0"/>
              <w:marRight w:val="0"/>
              <w:marTop w:val="0"/>
              <w:marBottom w:val="0"/>
              <w:divBdr>
                <w:top w:val="none" w:sz="0" w:space="0" w:color="auto"/>
                <w:left w:val="none" w:sz="0" w:space="0" w:color="auto"/>
                <w:bottom w:val="none" w:sz="0" w:space="0" w:color="auto"/>
                <w:right w:val="none" w:sz="0" w:space="0" w:color="auto"/>
              </w:divBdr>
            </w:div>
          </w:divsChild>
        </w:div>
        <w:div w:id="2043633237">
          <w:marLeft w:val="0"/>
          <w:marRight w:val="0"/>
          <w:marTop w:val="0"/>
          <w:marBottom w:val="0"/>
          <w:divBdr>
            <w:top w:val="single" w:sz="6" w:space="8" w:color="E7E7EF"/>
            <w:left w:val="single" w:sz="6" w:space="8" w:color="E7E7EF"/>
            <w:bottom w:val="single" w:sz="6" w:space="8" w:color="E7E7EF"/>
            <w:right w:val="single" w:sz="6" w:space="5" w:color="E7E7EF"/>
          </w:divBdr>
          <w:divsChild>
            <w:div w:id="17127924">
              <w:marLeft w:val="0"/>
              <w:marRight w:val="0"/>
              <w:marTop w:val="0"/>
              <w:marBottom w:val="0"/>
              <w:divBdr>
                <w:top w:val="none" w:sz="0" w:space="0" w:color="auto"/>
                <w:left w:val="none" w:sz="0" w:space="0" w:color="auto"/>
                <w:bottom w:val="none" w:sz="0" w:space="0" w:color="auto"/>
                <w:right w:val="none" w:sz="0" w:space="0" w:color="auto"/>
              </w:divBdr>
            </w:div>
            <w:div w:id="31342081">
              <w:marLeft w:val="0"/>
              <w:marRight w:val="0"/>
              <w:marTop w:val="0"/>
              <w:marBottom w:val="0"/>
              <w:divBdr>
                <w:top w:val="none" w:sz="0" w:space="0" w:color="auto"/>
                <w:left w:val="none" w:sz="0" w:space="0" w:color="auto"/>
                <w:bottom w:val="none" w:sz="0" w:space="0" w:color="auto"/>
                <w:right w:val="none" w:sz="0" w:space="0" w:color="auto"/>
              </w:divBdr>
            </w:div>
            <w:div w:id="362363004">
              <w:marLeft w:val="0"/>
              <w:marRight w:val="0"/>
              <w:marTop w:val="0"/>
              <w:marBottom w:val="0"/>
              <w:divBdr>
                <w:top w:val="none" w:sz="0" w:space="0" w:color="auto"/>
                <w:left w:val="none" w:sz="0" w:space="0" w:color="auto"/>
                <w:bottom w:val="none" w:sz="0" w:space="0" w:color="auto"/>
                <w:right w:val="none" w:sz="0" w:space="0" w:color="auto"/>
              </w:divBdr>
            </w:div>
            <w:div w:id="902715874">
              <w:marLeft w:val="0"/>
              <w:marRight w:val="0"/>
              <w:marTop w:val="0"/>
              <w:marBottom w:val="0"/>
              <w:divBdr>
                <w:top w:val="none" w:sz="0" w:space="0" w:color="auto"/>
                <w:left w:val="none" w:sz="0" w:space="0" w:color="auto"/>
                <w:bottom w:val="none" w:sz="0" w:space="0" w:color="auto"/>
                <w:right w:val="none" w:sz="0" w:space="0" w:color="auto"/>
              </w:divBdr>
              <w:divsChild>
                <w:div w:id="1822382101">
                  <w:marLeft w:val="0"/>
                  <w:marRight w:val="0"/>
                  <w:marTop w:val="0"/>
                  <w:marBottom w:val="0"/>
                  <w:divBdr>
                    <w:top w:val="single" w:sz="6" w:space="4" w:color="FFFFFF"/>
                    <w:left w:val="single" w:sz="6" w:space="8" w:color="FFFFFF"/>
                    <w:bottom w:val="single" w:sz="6" w:space="4" w:color="FFFFFF"/>
                    <w:right w:val="single" w:sz="6" w:space="4" w:color="FFFFFF"/>
                  </w:divBdr>
                </w:div>
              </w:divsChild>
            </w:div>
            <w:div w:id="1014303058">
              <w:marLeft w:val="0"/>
              <w:marRight w:val="0"/>
              <w:marTop w:val="0"/>
              <w:marBottom w:val="0"/>
              <w:divBdr>
                <w:top w:val="none" w:sz="0" w:space="0" w:color="auto"/>
                <w:left w:val="none" w:sz="0" w:space="0" w:color="auto"/>
                <w:bottom w:val="none" w:sz="0" w:space="0" w:color="auto"/>
                <w:right w:val="none" w:sz="0" w:space="0" w:color="auto"/>
              </w:divBdr>
              <w:divsChild>
                <w:div w:id="832336709">
                  <w:marLeft w:val="0"/>
                  <w:marRight w:val="0"/>
                  <w:marTop w:val="0"/>
                  <w:marBottom w:val="0"/>
                  <w:divBdr>
                    <w:top w:val="single" w:sz="6" w:space="4" w:color="FFFFFF"/>
                    <w:left w:val="single" w:sz="6" w:space="8" w:color="FFFFFF"/>
                    <w:bottom w:val="single" w:sz="6" w:space="4" w:color="FFFFFF"/>
                    <w:right w:val="single" w:sz="6" w:space="4" w:color="FFFFFF"/>
                  </w:divBdr>
                </w:div>
              </w:divsChild>
            </w:div>
            <w:div w:id="1208837332">
              <w:marLeft w:val="0"/>
              <w:marRight w:val="0"/>
              <w:marTop w:val="0"/>
              <w:marBottom w:val="0"/>
              <w:divBdr>
                <w:top w:val="none" w:sz="0" w:space="0" w:color="auto"/>
                <w:left w:val="none" w:sz="0" w:space="0" w:color="auto"/>
                <w:bottom w:val="none" w:sz="0" w:space="0" w:color="auto"/>
                <w:right w:val="none" w:sz="0" w:space="0" w:color="auto"/>
              </w:divBdr>
            </w:div>
            <w:div w:id="13438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3205">
      <w:bodyDiv w:val="1"/>
      <w:marLeft w:val="0"/>
      <w:marRight w:val="0"/>
      <w:marTop w:val="0"/>
      <w:marBottom w:val="0"/>
      <w:divBdr>
        <w:top w:val="none" w:sz="0" w:space="0" w:color="auto"/>
        <w:left w:val="none" w:sz="0" w:space="0" w:color="auto"/>
        <w:bottom w:val="none" w:sz="0" w:space="0" w:color="auto"/>
        <w:right w:val="none" w:sz="0" w:space="0" w:color="auto"/>
      </w:divBdr>
    </w:div>
    <w:div w:id="1143472353">
      <w:bodyDiv w:val="1"/>
      <w:marLeft w:val="0"/>
      <w:marRight w:val="0"/>
      <w:marTop w:val="0"/>
      <w:marBottom w:val="0"/>
      <w:divBdr>
        <w:top w:val="none" w:sz="0" w:space="0" w:color="auto"/>
        <w:left w:val="none" w:sz="0" w:space="0" w:color="auto"/>
        <w:bottom w:val="none" w:sz="0" w:space="0" w:color="auto"/>
        <w:right w:val="none" w:sz="0" w:space="0" w:color="auto"/>
      </w:divBdr>
      <w:divsChild>
        <w:div w:id="1097217518">
          <w:marLeft w:val="0"/>
          <w:marRight w:val="0"/>
          <w:marTop w:val="0"/>
          <w:marBottom w:val="0"/>
          <w:divBdr>
            <w:top w:val="single" w:sz="6" w:space="0" w:color="009966"/>
            <w:left w:val="none" w:sz="0" w:space="0" w:color="auto"/>
            <w:bottom w:val="single" w:sz="6" w:space="0" w:color="009966"/>
            <w:right w:val="none" w:sz="0" w:space="0" w:color="auto"/>
          </w:divBdr>
        </w:div>
        <w:div w:id="1349140656">
          <w:marLeft w:val="0"/>
          <w:marRight w:val="0"/>
          <w:marTop w:val="0"/>
          <w:marBottom w:val="0"/>
          <w:divBdr>
            <w:top w:val="single" w:sz="6" w:space="0" w:color="009966"/>
            <w:left w:val="none" w:sz="0" w:space="0" w:color="auto"/>
            <w:bottom w:val="single" w:sz="6" w:space="0" w:color="009966"/>
            <w:right w:val="none" w:sz="0" w:space="0" w:color="auto"/>
          </w:divBdr>
        </w:div>
        <w:div w:id="1855731911">
          <w:marLeft w:val="0"/>
          <w:marRight w:val="0"/>
          <w:marTop w:val="0"/>
          <w:marBottom w:val="0"/>
          <w:divBdr>
            <w:top w:val="single" w:sz="6" w:space="0" w:color="009966"/>
            <w:left w:val="none" w:sz="0" w:space="0" w:color="auto"/>
            <w:bottom w:val="single" w:sz="6" w:space="0" w:color="009966"/>
            <w:right w:val="none" w:sz="0" w:space="0" w:color="auto"/>
          </w:divBdr>
        </w:div>
        <w:div w:id="1934511172">
          <w:marLeft w:val="0"/>
          <w:marRight w:val="0"/>
          <w:marTop w:val="0"/>
          <w:marBottom w:val="0"/>
          <w:divBdr>
            <w:top w:val="single" w:sz="6" w:space="0" w:color="009966"/>
            <w:left w:val="none" w:sz="0" w:space="0" w:color="auto"/>
            <w:bottom w:val="single" w:sz="6" w:space="0" w:color="009966"/>
            <w:right w:val="none" w:sz="0" w:space="0" w:color="auto"/>
          </w:divBdr>
        </w:div>
        <w:div w:id="1963725462">
          <w:marLeft w:val="0"/>
          <w:marRight w:val="0"/>
          <w:marTop w:val="0"/>
          <w:marBottom w:val="0"/>
          <w:divBdr>
            <w:top w:val="single" w:sz="6" w:space="0" w:color="009966"/>
            <w:left w:val="none" w:sz="0" w:space="0" w:color="auto"/>
            <w:bottom w:val="single" w:sz="6" w:space="0" w:color="009966"/>
            <w:right w:val="none" w:sz="0" w:space="0" w:color="auto"/>
          </w:divBdr>
        </w:div>
      </w:divsChild>
    </w:div>
    <w:div w:id="1166556021">
      <w:bodyDiv w:val="1"/>
      <w:marLeft w:val="0"/>
      <w:marRight w:val="0"/>
      <w:marTop w:val="0"/>
      <w:marBottom w:val="0"/>
      <w:divBdr>
        <w:top w:val="none" w:sz="0" w:space="0" w:color="auto"/>
        <w:left w:val="none" w:sz="0" w:space="0" w:color="auto"/>
        <w:bottom w:val="none" w:sz="0" w:space="0" w:color="auto"/>
        <w:right w:val="none" w:sz="0" w:space="0" w:color="auto"/>
      </w:divBdr>
      <w:divsChild>
        <w:div w:id="452404266">
          <w:marLeft w:val="0"/>
          <w:marRight w:val="0"/>
          <w:marTop w:val="0"/>
          <w:marBottom w:val="0"/>
          <w:divBdr>
            <w:top w:val="single" w:sz="6" w:space="0" w:color="009966"/>
            <w:left w:val="none" w:sz="0" w:space="0" w:color="auto"/>
            <w:bottom w:val="single" w:sz="6" w:space="0" w:color="009966"/>
            <w:right w:val="none" w:sz="0" w:space="0" w:color="auto"/>
          </w:divBdr>
        </w:div>
        <w:div w:id="235896644">
          <w:marLeft w:val="0"/>
          <w:marRight w:val="0"/>
          <w:marTop w:val="0"/>
          <w:marBottom w:val="0"/>
          <w:divBdr>
            <w:top w:val="single" w:sz="6" w:space="0" w:color="009966"/>
            <w:left w:val="none" w:sz="0" w:space="0" w:color="auto"/>
            <w:bottom w:val="single" w:sz="6" w:space="0" w:color="009966"/>
            <w:right w:val="none" w:sz="0" w:space="0" w:color="auto"/>
          </w:divBdr>
        </w:div>
        <w:div w:id="292716310">
          <w:marLeft w:val="0"/>
          <w:marRight w:val="0"/>
          <w:marTop w:val="0"/>
          <w:marBottom w:val="0"/>
          <w:divBdr>
            <w:top w:val="single" w:sz="6" w:space="0" w:color="009966"/>
            <w:left w:val="none" w:sz="0" w:space="0" w:color="auto"/>
            <w:bottom w:val="single" w:sz="6" w:space="0" w:color="009966"/>
            <w:right w:val="none" w:sz="0" w:space="0" w:color="auto"/>
          </w:divBdr>
        </w:div>
        <w:div w:id="1336372742">
          <w:marLeft w:val="0"/>
          <w:marRight w:val="0"/>
          <w:marTop w:val="0"/>
          <w:marBottom w:val="0"/>
          <w:divBdr>
            <w:top w:val="single" w:sz="6" w:space="0" w:color="009966"/>
            <w:left w:val="none" w:sz="0" w:space="0" w:color="auto"/>
            <w:bottom w:val="single" w:sz="6" w:space="0" w:color="009966"/>
            <w:right w:val="none" w:sz="0" w:space="0" w:color="auto"/>
          </w:divBdr>
        </w:div>
        <w:div w:id="1840073205">
          <w:marLeft w:val="0"/>
          <w:marRight w:val="0"/>
          <w:marTop w:val="0"/>
          <w:marBottom w:val="0"/>
          <w:divBdr>
            <w:top w:val="single" w:sz="6" w:space="0" w:color="009966"/>
            <w:left w:val="none" w:sz="0" w:space="0" w:color="auto"/>
            <w:bottom w:val="single" w:sz="6" w:space="0" w:color="009966"/>
            <w:right w:val="none" w:sz="0" w:space="0" w:color="auto"/>
          </w:divBdr>
        </w:div>
        <w:div w:id="922448261">
          <w:marLeft w:val="0"/>
          <w:marRight w:val="0"/>
          <w:marTop w:val="0"/>
          <w:marBottom w:val="0"/>
          <w:divBdr>
            <w:top w:val="single" w:sz="6" w:space="0" w:color="009966"/>
            <w:left w:val="none" w:sz="0" w:space="0" w:color="auto"/>
            <w:bottom w:val="single" w:sz="6" w:space="0" w:color="009966"/>
            <w:right w:val="none" w:sz="0" w:space="0" w:color="auto"/>
          </w:divBdr>
        </w:div>
      </w:divsChild>
    </w:div>
    <w:div w:id="1235971412">
      <w:bodyDiv w:val="1"/>
      <w:marLeft w:val="0"/>
      <w:marRight w:val="0"/>
      <w:marTop w:val="0"/>
      <w:marBottom w:val="0"/>
      <w:divBdr>
        <w:top w:val="none" w:sz="0" w:space="0" w:color="auto"/>
        <w:left w:val="none" w:sz="0" w:space="0" w:color="auto"/>
        <w:bottom w:val="none" w:sz="0" w:space="0" w:color="auto"/>
        <w:right w:val="none" w:sz="0" w:space="0" w:color="auto"/>
      </w:divBdr>
      <w:divsChild>
        <w:div w:id="366372612">
          <w:marLeft w:val="0"/>
          <w:marRight w:val="0"/>
          <w:marTop w:val="0"/>
          <w:marBottom w:val="0"/>
          <w:divBdr>
            <w:top w:val="single" w:sz="6" w:space="0" w:color="009966"/>
            <w:left w:val="none" w:sz="0" w:space="0" w:color="auto"/>
            <w:bottom w:val="single" w:sz="6" w:space="0" w:color="009966"/>
            <w:right w:val="none" w:sz="0" w:space="0" w:color="auto"/>
          </w:divBdr>
        </w:div>
        <w:div w:id="878054937">
          <w:marLeft w:val="0"/>
          <w:marRight w:val="0"/>
          <w:marTop w:val="0"/>
          <w:marBottom w:val="0"/>
          <w:divBdr>
            <w:top w:val="single" w:sz="6" w:space="0" w:color="009966"/>
            <w:left w:val="none" w:sz="0" w:space="0" w:color="auto"/>
            <w:bottom w:val="single" w:sz="6" w:space="0" w:color="009966"/>
            <w:right w:val="none" w:sz="0" w:space="0" w:color="auto"/>
          </w:divBdr>
        </w:div>
        <w:div w:id="905725631">
          <w:marLeft w:val="0"/>
          <w:marRight w:val="0"/>
          <w:marTop w:val="0"/>
          <w:marBottom w:val="0"/>
          <w:divBdr>
            <w:top w:val="single" w:sz="6" w:space="0" w:color="009966"/>
            <w:left w:val="none" w:sz="0" w:space="0" w:color="auto"/>
            <w:bottom w:val="single" w:sz="6" w:space="0" w:color="009966"/>
            <w:right w:val="none" w:sz="0" w:space="0" w:color="auto"/>
          </w:divBdr>
        </w:div>
        <w:div w:id="1472988347">
          <w:marLeft w:val="0"/>
          <w:marRight w:val="0"/>
          <w:marTop w:val="0"/>
          <w:marBottom w:val="0"/>
          <w:divBdr>
            <w:top w:val="single" w:sz="6" w:space="0" w:color="009966"/>
            <w:left w:val="none" w:sz="0" w:space="0" w:color="auto"/>
            <w:bottom w:val="single" w:sz="6" w:space="0" w:color="009966"/>
            <w:right w:val="none" w:sz="0" w:space="0" w:color="auto"/>
          </w:divBdr>
        </w:div>
        <w:div w:id="1499267262">
          <w:marLeft w:val="0"/>
          <w:marRight w:val="0"/>
          <w:marTop w:val="0"/>
          <w:marBottom w:val="0"/>
          <w:divBdr>
            <w:top w:val="single" w:sz="6" w:space="0" w:color="009966"/>
            <w:left w:val="none" w:sz="0" w:space="0" w:color="auto"/>
            <w:bottom w:val="single" w:sz="6" w:space="0" w:color="009966"/>
            <w:right w:val="none" w:sz="0" w:space="0" w:color="auto"/>
          </w:divBdr>
        </w:div>
        <w:div w:id="1819154846">
          <w:marLeft w:val="0"/>
          <w:marRight w:val="0"/>
          <w:marTop w:val="0"/>
          <w:marBottom w:val="0"/>
          <w:divBdr>
            <w:top w:val="single" w:sz="6" w:space="0" w:color="009966"/>
            <w:left w:val="none" w:sz="0" w:space="0" w:color="auto"/>
            <w:bottom w:val="single" w:sz="6" w:space="0" w:color="009966"/>
            <w:right w:val="none" w:sz="0" w:space="0" w:color="auto"/>
          </w:divBdr>
        </w:div>
        <w:div w:id="2092657428">
          <w:marLeft w:val="0"/>
          <w:marRight w:val="0"/>
          <w:marTop w:val="0"/>
          <w:marBottom w:val="0"/>
          <w:divBdr>
            <w:top w:val="single" w:sz="6" w:space="0" w:color="009966"/>
            <w:left w:val="none" w:sz="0" w:space="0" w:color="auto"/>
            <w:bottom w:val="single" w:sz="6" w:space="0" w:color="009966"/>
            <w:right w:val="none" w:sz="0" w:space="0" w:color="auto"/>
          </w:divBdr>
        </w:div>
      </w:divsChild>
    </w:div>
    <w:div w:id="1333140925">
      <w:bodyDiv w:val="1"/>
      <w:marLeft w:val="0"/>
      <w:marRight w:val="0"/>
      <w:marTop w:val="0"/>
      <w:marBottom w:val="0"/>
      <w:divBdr>
        <w:top w:val="none" w:sz="0" w:space="0" w:color="auto"/>
        <w:left w:val="none" w:sz="0" w:space="0" w:color="auto"/>
        <w:bottom w:val="none" w:sz="0" w:space="0" w:color="auto"/>
        <w:right w:val="none" w:sz="0" w:space="0" w:color="auto"/>
      </w:divBdr>
      <w:divsChild>
        <w:div w:id="85737006">
          <w:marLeft w:val="0"/>
          <w:marRight w:val="0"/>
          <w:marTop w:val="0"/>
          <w:marBottom w:val="0"/>
          <w:divBdr>
            <w:top w:val="single" w:sz="6" w:space="0" w:color="009966"/>
            <w:left w:val="none" w:sz="0" w:space="0" w:color="auto"/>
            <w:bottom w:val="single" w:sz="6" w:space="0" w:color="009966"/>
            <w:right w:val="none" w:sz="0" w:space="0" w:color="auto"/>
          </w:divBdr>
        </w:div>
        <w:div w:id="1588923299">
          <w:marLeft w:val="0"/>
          <w:marRight w:val="0"/>
          <w:marTop w:val="0"/>
          <w:marBottom w:val="0"/>
          <w:divBdr>
            <w:top w:val="single" w:sz="6" w:space="0" w:color="009966"/>
            <w:left w:val="none" w:sz="0" w:space="0" w:color="auto"/>
            <w:bottom w:val="single" w:sz="6" w:space="0" w:color="009966"/>
            <w:right w:val="none" w:sz="0" w:space="0" w:color="auto"/>
          </w:divBdr>
        </w:div>
        <w:div w:id="1034623343">
          <w:marLeft w:val="0"/>
          <w:marRight w:val="0"/>
          <w:marTop w:val="0"/>
          <w:marBottom w:val="0"/>
          <w:divBdr>
            <w:top w:val="single" w:sz="6" w:space="0" w:color="009966"/>
            <w:left w:val="none" w:sz="0" w:space="0" w:color="auto"/>
            <w:bottom w:val="single" w:sz="6" w:space="0" w:color="009966"/>
            <w:right w:val="none" w:sz="0" w:space="0" w:color="auto"/>
          </w:divBdr>
        </w:div>
        <w:div w:id="1559435580">
          <w:marLeft w:val="0"/>
          <w:marRight w:val="0"/>
          <w:marTop w:val="0"/>
          <w:marBottom w:val="0"/>
          <w:divBdr>
            <w:top w:val="single" w:sz="6" w:space="0" w:color="009966"/>
            <w:left w:val="none" w:sz="0" w:space="0" w:color="auto"/>
            <w:bottom w:val="single" w:sz="6" w:space="0" w:color="009966"/>
            <w:right w:val="none" w:sz="0" w:space="0" w:color="auto"/>
          </w:divBdr>
        </w:div>
        <w:div w:id="1975672825">
          <w:marLeft w:val="0"/>
          <w:marRight w:val="0"/>
          <w:marTop w:val="0"/>
          <w:marBottom w:val="0"/>
          <w:divBdr>
            <w:top w:val="single" w:sz="6" w:space="0" w:color="009966"/>
            <w:left w:val="none" w:sz="0" w:space="0" w:color="auto"/>
            <w:bottom w:val="single" w:sz="6" w:space="0" w:color="009966"/>
            <w:right w:val="none" w:sz="0" w:space="0" w:color="auto"/>
          </w:divBdr>
        </w:div>
        <w:div w:id="1327250074">
          <w:marLeft w:val="0"/>
          <w:marRight w:val="0"/>
          <w:marTop w:val="0"/>
          <w:marBottom w:val="0"/>
          <w:divBdr>
            <w:top w:val="single" w:sz="6" w:space="0" w:color="009966"/>
            <w:left w:val="none" w:sz="0" w:space="0" w:color="auto"/>
            <w:bottom w:val="single" w:sz="6" w:space="0" w:color="009966"/>
            <w:right w:val="none" w:sz="0" w:space="0" w:color="auto"/>
          </w:divBdr>
        </w:div>
      </w:divsChild>
    </w:div>
    <w:div w:id="1347515899">
      <w:bodyDiv w:val="1"/>
      <w:marLeft w:val="0"/>
      <w:marRight w:val="0"/>
      <w:marTop w:val="0"/>
      <w:marBottom w:val="0"/>
      <w:divBdr>
        <w:top w:val="none" w:sz="0" w:space="0" w:color="auto"/>
        <w:left w:val="none" w:sz="0" w:space="0" w:color="auto"/>
        <w:bottom w:val="none" w:sz="0" w:space="0" w:color="auto"/>
        <w:right w:val="none" w:sz="0" w:space="0" w:color="auto"/>
      </w:divBdr>
      <w:divsChild>
        <w:div w:id="41636948">
          <w:marLeft w:val="0"/>
          <w:marRight w:val="0"/>
          <w:marTop w:val="0"/>
          <w:marBottom w:val="0"/>
          <w:divBdr>
            <w:top w:val="single" w:sz="6" w:space="0" w:color="009966"/>
            <w:left w:val="none" w:sz="0" w:space="0" w:color="auto"/>
            <w:bottom w:val="single" w:sz="6" w:space="0" w:color="009966"/>
            <w:right w:val="none" w:sz="0" w:space="0" w:color="auto"/>
          </w:divBdr>
        </w:div>
        <w:div w:id="964510357">
          <w:marLeft w:val="0"/>
          <w:marRight w:val="0"/>
          <w:marTop w:val="0"/>
          <w:marBottom w:val="0"/>
          <w:divBdr>
            <w:top w:val="single" w:sz="6" w:space="0" w:color="009966"/>
            <w:left w:val="none" w:sz="0" w:space="0" w:color="auto"/>
            <w:bottom w:val="single" w:sz="6" w:space="0" w:color="009966"/>
            <w:right w:val="none" w:sz="0" w:space="0" w:color="auto"/>
          </w:divBdr>
        </w:div>
        <w:div w:id="1141578290">
          <w:marLeft w:val="0"/>
          <w:marRight w:val="0"/>
          <w:marTop w:val="0"/>
          <w:marBottom w:val="0"/>
          <w:divBdr>
            <w:top w:val="single" w:sz="6" w:space="0" w:color="009966"/>
            <w:left w:val="none" w:sz="0" w:space="0" w:color="auto"/>
            <w:bottom w:val="single" w:sz="6" w:space="0" w:color="009966"/>
            <w:right w:val="none" w:sz="0" w:space="0" w:color="auto"/>
          </w:divBdr>
        </w:div>
        <w:div w:id="1271623617">
          <w:marLeft w:val="0"/>
          <w:marRight w:val="0"/>
          <w:marTop w:val="0"/>
          <w:marBottom w:val="0"/>
          <w:divBdr>
            <w:top w:val="single" w:sz="6" w:space="0" w:color="009966"/>
            <w:left w:val="none" w:sz="0" w:space="0" w:color="auto"/>
            <w:bottom w:val="single" w:sz="6" w:space="0" w:color="009966"/>
            <w:right w:val="none" w:sz="0" w:space="0" w:color="auto"/>
          </w:divBdr>
        </w:div>
        <w:div w:id="1969041766">
          <w:marLeft w:val="0"/>
          <w:marRight w:val="0"/>
          <w:marTop w:val="0"/>
          <w:marBottom w:val="0"/>
          <w:divBdr>
            <w:top w:val="single" w:sz="6" w:space="0" w:color="009966"/>
            <w:left w:val="none" w:sz="0" w:space="0" w:color="auto"/>
            <w:bottom w:val="single" w:sz="6" w:space="0" w:color="009966"/>
            <w:right w:val="none" w:sz="0" w:space="0" w:color="auto"/>
          </w:divBdr>
        </w:div>
      </w:divsChild>
    </w:div>
    <w:div w:id="1602493340">
      <w:bodyDiv w:val="1"/>
      <w:marLeft w:val="0"/>
      <w:marRight w:val="0"/>
      <w:marTop w:val="0"/>
      <w:marBottom w:val="0"/>
      <w:divBdr>
        <w:top w:val="none" w:sz="0" w:space="0" w:color="auto"/>
        <w:left w:val="none" w:sz="0" w:space="0" w:color="auto"/>
        <w:bottom w:val="none" w:sz="0" w:space="0" w:color="auto"/>
        <w:right w:val="none" w:sz="0" w:space="0" w:color="auto"/>
      </w:divBdr>
    </w:div>
    <w:div w:id="1625454452">
      <w:bodyDiv w:val="1"/>
      <w:marLeft w:val="0"/>
      <w:marRight w:val="0"/>
      <w:marTop w:val="0"/>
      <w:marBottom w:val="0"/>
      <w:divBdr>
        <w:top w:val="none" w:sz="0" w:space="0" w:color="auto"/>
        <w:left w:val="none" w:sz="0" w:space="0" w:color="auto"/>
        <w:bottom w:val="none" w:sz="0" w:space="0" w:color="auto"/>
        <w:right w:val="none" w:sz="0" w:space="0" w:color="auto"/>
      </w:divBdr>
      <w:divsChild>
        <w:div w:id="694309513">
          <w:marLeft w:val="0"/>
          <w:marRight w:val="0"/>
          <w:marTop w:val="0"/>
          <w:marBottom w:val="0"/>
          <w:divBdr>
            <w:top w:val="single" w:sz="6" w:space="0" w:color="009966"/>
            <w:left w:val="none" w:sz="0" w:space="0" w:color="auto"/>
            <w:bottom w:val="single" w:sz="6" w:space="0" w:color="009966"/>
            <w:right w:val="none" w:sz="0" w:space="0" w:color="auto"/>
          </w:divBdr>
        </w:div>
        <w:div w:id="1885562468">
          <w:marLeft w:val="0"/>
          <w:marRight w:val="0"/>
          <w:marTop w:val="0"/>
          <w:marBottom w:val="0"/>
          <w:divBdr>
            <w:top w:val="single" w:sz="6" w:space="0" w:color="009966"/>
            <w:left w:val="none" w:sz="0" w:space="0" w:color="auto"/>
            <w:bottom w:val="single" w:sz="6" w:space="0" w:color="009966"/>
            <w:right w:val="none" w:sz="0" w:space="0" w:color="auto"/>
          </w:divBdr>
        </w:div>
      </w:divsChild>
    </w:div>
    <w:div w:id="1635138186">
      <w:bodyDiv w:val="1"/>
      <w:marLeft w:val="0"/>
      <w:marRight w:val="0"/>
      <w:marTop w:val="0"/>
      <w:marBottom w:val="0"/>
      <w:divBdr>
        <w:top w:val="none" w:sz="0" w:space="0" w:color="auto"/>
        <w:left w:val="none" w:sz="0" w:space="0" w:color="auto"/>
        <w:bottom w:val="none" w:sz="0" w:space="0" w:color="auto"/>
        <w:right w:val="none" w:sz="0" w:space="0" w:color="auto"/>
      </w:divBdr>
    </w:div>
    <w:div w:id="1691176034">
      <w:bodyDiv w:val="1"/>
      <w:marLeft w:val="0"/>
      <w:marRight w:val="0"/>
      <w:marTop w:val="0"/>
      <w:marBottom w:val="0"/>
      <w:divBdr>
        <w:top w:val="none" w:sz="0" w:space="0" w:color="auto"/>
        <w:left w:val="none" w:sz="0" w:space="0" w:color="auto"/>
        <w:bottom w:val="none" w:sz="0" w:space="0" w:color="auto"/>
        <w:right w:val="none" w:sz="0" w:space="0" w:color="auto"/>
      </w:divBdr>
      <w:divsChild>
        <w:div w:id="140930160">
          <w:marLeft w:val="0"/>
          <w:marRight w:val="0"/>
          <w:marTop w:val="0"/>
          <w:marBottom w:val="0"/>
          <w:divBdr>
            <w:top w:val="single" w:sz="6" w:space="0" w:color="009966"/>
            <w:left w:val="none" w:sz="0" w:space="0" w:color="auto"/>
            <w:bottom w:val="single" w:sz="6" w:space="0" w:color="009966"/>
            <w:right w:val="none" w:sz="0" w:space="0" w:color="auto"/>
          </w:divBdr>
        </w:div>
        <w:div w:id="796144373">
          <w:marLeft w:val="0"/>
          <w:marRight w:val="0"/>
          <w:marTop w:val="0"/>
          <w:marBottom w:val="0"/>
          <w:divBdr>
            <w:top w:val="single" w:sz="6" w:space="0" w:color="009966"/>
            <w:left w:val="none" w:sz="0" w:space="0" w:color="auto"/>
            <w:bottom w:val="single" w:sz="6" w:space="0" w:color="009966"/>
            <w:right w:val="none" w:sz="0" w:space="0" w:color="auto"/>
          </w:divBdr>
        </w:div>
        <w:div w:id="1012149483">
          <w:marLeft w:val="0"/>
          <w:marRight w:val="0"/>
          <w:marTop w:val="0"/>
          <w:marBottom w:val="0"/>
          <w:divBdr>
            <w:top w:val="single" w:sz="6" w:space="0" w:color="009966"/>
            <w:left w:val="none" w:sz="0" w:space="0" w:color="auto"/>
            <w:bottom w:val="single" w:sz="6" w:space="0" w:color="009966"/>
            <w:right w:val="none" w:sz="0" w:space="0" w:color="auto"/>
          </w:divBdr>
        </w:div>
        <w:div w:id="1393777141">
          <w:marLeft w:val="0"/>
          <w:marRight w:val="0"/>
          <w:marTop w:val="0"/>
          <w:marBottom w:val="0"/>
          <w:divBdr>
            <w:top w:val="single" w:sz="6" w:space="0" w:color="009966"/>
            <w:left w:val="none" w:sz="0" w:space="0" w:color="auto"/>
            <w:bottom w:val="single" w:sz="6" w:space="0" w:color="009966"/>
            <w:right w:val="none" w:sz="0" w:space="0" w:color="auto"/>
          </w:divBdr>
        </w:div>
        <w:div w:id="2120028853">
          <w:marLeft w:val="0"/>
          <w:marRight w:val="0"/>
          <w:marTop w:val="0"/>
          <w:marBottom w:val="0"/>
          <w:divBdr>
            <w:top w:val="single" w:sz="6" w:space="0" w:color="009966"/>
            <w:left w:val="none" w:sz="0" w:space="0" w:color="auto"/>
            <w:bottom w:val="single" w:sz="6" w:space="0" w:color="009966"/>
            <w:right w:val="none" w:sz="0" w:space="0" w:color="auto"/>
          </w:divBdr>
        </w:div>
      </w:divsChild>
    </w:div>
    <w:div w:id="1967811039">
      <w:bodyDiv w:val="1"/>
      <w:marLeft w:val="0"/>
      <w:marRight w:val="0"/>
      <w:marTop w:val="0"/>
      <w:marBottom w:val="0"/>
      <w:divBdr>
        <w:top w:val="none" w:sz="0" w:space="0" w:color="auto"/>
        <w:left w:val="none" w:sz="0" w:space="0" w:color="auto"/>
        <w:bottom w:val="none" w:sz="0" w:space="0" w:color="auto"/>
        <w:right w:val="none" w:sz="0" w:space="0" w:color="auto"/>
      </w:divBdr>
    </w:div>
    <w:div w:id="2051106759">
      <w:bodyDiv w:val="1"/>
      <w:marLeft w:val="0"/>
      <w:marRight w:val="0"/>
      <w:marTop w:val="0"/>
      <w:marBottom w:val="0"/>
      <w:divBdr>
        <w:top w:val="none" w:sz="0" w:space="0" w:color="auto"/>
        <w:left w:val="none" w:sz="0" w:space="0" w:color="auto"/>
        <w:bottom w:val="none" w:sz="0" w:space="0" w:color="auto"/>
        <w:right w:val="none" w:sz="0" w:space="0" w:color="auto"/>
      </w:divBdr>
      <w:divsChild>
        <w:div w:id="411126159">
          <w:marLeft w:val="0"/>
          <w:marRight w:val="0"/>
          <w:marTop w:val="0"/>
          <w:marBottom w:val="0"/>
          <w:divBdr>
            <w:top w:val="single" w:sz="6" w:space="0" w:color="009966"/>
            <w:left w:val="none" w:sz="0" w:space="0" w:color="auto"/>
            <w:bottom w:val="single" w:sz="6" w:space="0" w:color="009966"/>
            <w:right w:val="none" w:sz="0" w:space="0" w:color="auto"/>
          </w:divBdr>
        </w:div>
        <w:div w:id="973679682">
          <w:marLeft w:val="0"/>
          <w:marRight w:val="0"/>
          <w:marTop w:val="0"/>
          <w:marBottom w:val="0"/>
          <w:divBdr>
            <w:top w:val="single" w:sz="6" w:space="0" w:color="009966"/>
            <w:left w:val="none" w:sz="0" w:space="0" w:color="auto"/>
            <w:bottom w:val="single" w:sz="6" w:space="0" w:color="009966"/>
            <w:right w:val="none" w:sz="0" w:space="0" w:color="auto"/>
          </w:divBdr>
        </w:div>
        <w:div w:id="1122461683">
          <w:marLeft w:val="0"/>
          <w:marRight w:val="0"/>
          <w:marTop w:val="0"/>
          <w:marBottom w:val="0"/>
          <w:divBdr>
            <w:top w:val="single" w:sz="6" w:space="0" w:color="009966"/>
            <w:left w:val="none" w:sz="0" w:space="0" w:color="auto"/>
            <w:bottom w:val="single" w:sz="6" w:space="0" w:color="009966"/>
            <w:right w:val="none" w:sz="0" w:space="0" w:color="auto"/>
          </w:divBdr>
        </w:div>
        <w:div w:id="317542030">
          <w:marLeft w:val="0"/>
          <w:marRight w:val="0"/>
          <w:marTop w:val="0"/>
          <w:marBottom w:val="0"/>
          <w:divBdr>
            <w:top w:val="single" w:sz="6" w:space="0" w:color="009966"/>
            <w:left w:val="none" w:sz="0" w:space="0" w:color="auto"/>
            <w:bottom w:val="single" w:sz="6" w:space="0" w:color="009966"/>
            <w:right w:val="none" w:sz="0" w:space="0" w:color="auto"/>
          </w:divBdr>
        </w:div>
        <w:div w:id="57435485">
          <w:marLeft w:val="0"/>
          <w:marRight w:val="0"/>
          <w:marTop w:val="0"/>
          <w:marBottom w:val="0"/>
          <w:divBdr>
            <w:top w:val="single" w:sz="6" w:space="0" w:color="009966"/>
            <w:left w:val="none" w:sz="0" w:space="0" w:color="auto"/>
            <w:bottom w:val="single" w:sz="6" w:space="0" w:color="009966"/>
            <w:right w:val="none" w:sz="0" w:space="0" w:color="auto"/>
          </w:divBdr>
        </w:div>
      </w:divsChild>
    </w:div>
    <w:div w:id="2051106989">
      <w:bodyDiv w:val="1"/>
      <w:marLeft w:val="0"/>
      <w:marRight w:val="0"/>
      <w:marTop w:val="0"/>
      <w:marBottom w:val="0"/>
      <w:divBdr>
        <w:top w:val="none" w:sz="0" w:space="0" w:color="auto"/>
        <w:left w:val="none" w:sz="0" w:space="0" w:color="auto"/>
        <w:bottom w:val="none" w:sz="0" w:space="0" w:color="auto"/>
        <w:right w:val="none" w:sz="0" w:space="0" w:color="auto"/>
      </w:divBdr>
      <w:divsChild>
        <w:div w:id="1072195024">
          <w:marLeft w:val="0"/>
          <w:marRight w:val="0"/>
          <w:marTop w:val="0"/>
          <w:marBottom w:val="0"/>
          <w:divBdr>
            <w:top w:val="single" w:sz="6" w:space="0" w:color="009966"/>
            <w:left w:val="none" w:sz="0" w:space="0" w:color="auto"/>
            <w:bottom w:val="single" w:sz="6" w:space="0" w:color="009966"/>
            <w:right w:val="none" w:sz="0" w:space="0" w:color="auto"/>
          </w:divBdr>
        </w:div>
        <w:div w:id="170342076">
          <w:marLeft w:val="0"/>
          <w:marRight w:val="0"/>
          <w:marTop w:val="0"/>
          <w:marBottom w:val="0"/>
          <w:divBdr>
            <w:top w:val="single" w:sz="6" w:space="0" w:color="009966"/>
            <w:left w:val="none" w:sz="0" w:space="0" w:color="auto"/>
            <w:bottom w:val="single" w:sz="6" w:space="0" w:color="009966"/>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javascript:document['form_C8'].subm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document['form_C11'].subm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document['form_C0'].submit();" TargetMode="External"/><Relationship Id="rId5" Type="http://schemas.openxmlformats.org/officeDocument/2006/relationships/settings" Target="settings.xml"/><Relationship Id="rId15" Type="http://schemas.openxmlformats.org/officeDocument/2006/relationships/hyperlink" Target="javascript:document['form_C10'].submit();" TargetMode="Externa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javascript:document['form_C9'].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E077E-B642-4953-B27E-BCBA052B9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15168</CharactersWithSpaces>
  <SharedDoc>false</SharedDoc>
  <HLinks>
    <vt:vector size="30" baseType="variant">
      <vt:variant>
        <vt:i4>1507366</vt:i4>
      </vt:variant>
      <vt:variant>
        <vt:i4>15</vt:i4>
      </vt:variant>
      <vt:variant>
        <vt:i4>0</vt:i4>
      </vt:variant>
      <vt:variant>
        <vt:i4>5</vt:i4>
      </vt:variant>
      <vt:variant>
        <vt:lpwstr>javascript:document['form_C11'].submit();</vt:lpwstr>
      </vt:variant>
      <vt:variant>
        <vt:lpwstr/>
      </vt:variant>
      <vt:variant>
        <vt:i4>1507367</vt:i4>
      </vt:variant>
      <vt:variant>
        <vt:i4>12</vt:i4>
      </vt:variant>
      <vt:variant>
        <vt:i4>0</vt:i4>
      </vt:variant>
      <vt:variant>
        <vt:i4>5</vt:i4>
      </vt:variant>
      <vt:variant>
        <vt:lpwstr>javascript:document['form_C10'].submit();</vt:lpwstr>
      </vt:variant>
      <vt:variant>
        <vt:lpwstr/>
      </vt:variant>
      <vt:variant>
        <vt:i4>6619222</vt:i4>
      </vt:variant>
      <vt:variant>
        <vt:i4>9</vt:i4>
      </vt:variant>
      <vt:variant>
        <vt:i4>0</vt:i4>
      </vt:variant>
      <vt:variant>
        <vt:i4>5</vt:i4>
      </vt:variant>
      <vt:variant>
        <vt:lpwstr>javascript:document['form_C9'].submit();</vt:lpwstr>
      </vt:variant>
      <vt:variant>
        <vt:lpwstr/>
      </vt:variant>
      <vt:variant>
        <vt:i4>6553686</vt:i4>
      </vt:variant>
      <vt:variant>
        <vt:i4>6</vt:i4>
      </vt:variant>
      <vt:variant>
        <vt:i4>0</vt:i4>
      </vt:variant>
      <vt:variant>
        <vt:i4>5</vt:i4>
      </vt:variant>
      <vt:variant>
        <vt:lpwstr>javascript:document['form_C8'].submit();</vt:lpwstr>
      </vt:variant>
      <vt:variant>
        <vt:lpwstr/>
      </vt:variant>
      <vt:variant>
        <vt:i4>7077974</vt:i4>
      </vt:variant>
      <vt:variant>
        <vt:i4>3</vt:i4>
      </vt:variant>
      <vt:variant>
        <vt:i4>0</vt:i4>
      </vt:variant>
      <vt:variant>
        <vt:i4>5</vt:i4>
      </vt:variant>
      <vt:variant>
        <vt:lpwstr>javascript:document['form_C0'].submit();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2012 Trustee Report</dc:subject>
  <dc:creator>Gavin McCloskey</dc:creator>
  <cp:lastModifiedBy>User</cp:lastModifiedBy>
  <cp:revision>2</cp:revision>
  <cp:lastPrinted>2013-02-09T21:43:00Z</cp:lastPrinted>
  <dcterms:created xsi:type="dcterms:W3CDTF">2013-02-09T22:05:00Z</dcterms:created>
  <dcterms:modified xsi:type="dcterms:W3CDTF">2013-02-09T22:05:00Z</dcterms:modified>
</cp:coreProperties>
</file>