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Deed of Removal and Appointment of Practitioner</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Noel Village (Steel Founder) Ltd RBS SSAS</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Dated: 24/10/</w:t>
      </w:r>
      <w:r w:rsidDel="00000000" w:rsidR="00000000" w:rsidRPr="00000000">
        <w:rPr>
          <w:rFonts w:ascii="Times New Roman" w:cs="Times New Roman" w:eastAsia="Times New Roman" w:hAnsi="Times New Roman"/>
          <w:rtl w:val="0"/>
        </w:rPr>
        <w:t xml:space="preserve">2022</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7">
      <w:pPr>
        <w:keepNext w:val="1"/>
        <w:pBdr>
          <w:top w:space="0" w:sz="0" w:val="nil"/>
          <w:left w:space="0" w:sz="0" w:val="nil"/>
          <w:bottom w:space="0" w:sz="0" w:val="nil"/>
          <w:right w:space="0" w:sz="0" w:val="nil"/>
          <w:between w:space="0" w:sz="0" w:val="nil"/>
        </w:pBdr>
        <w:tabs>
          <w:tab w:val="left" w:pos="0"/>
        </w:tabs>
        <w:spacing w:after="240" w:line="240"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Parties</w:t>
      </w:r>
    </w:p>
    <w:p w:rsidR="00000000" w:rsidDel="00000000" w:rsidP="00000000" w:rsidRDefault="00000000" w:rsidRPr="00000000" w14:paraId="00000008">
      <w:pPr>
        <w:keepNext w:val="1"/>
        <w:numPr>
          <w:ilvl w:val="0"/>
          <w:numId w:val="1"/>
        </w:numPr>
        <w:pBdr>
          <w:top w:space="0" w:sz="0" w:val="nil"/>
          <w:left w:space="0" w:sz="0" w:val="nil"/>
          <w:bottom w:space="0" w:sz="0" w:val="nil"/>
          <w:right w:space="0" w:sz="0" w:val="nil"/>
          <w:between w:space="0" w:sz="0" w:val="nil"/>
        </w:pBdr>
        <w:tabs>
          <w:tab w:val="left" w:pos="0"/>
        </w:tabs>
        <w:spacing w:after="24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Anthony Noel Village </w:t>
      </w:r>
      <w:r w:rsidDel="00000000" w:rsidR="00000000" w:rsidRPr="00000000">
        <w:rPr>
          <w:rFonts w:ascii="Times New Roman" w:cs="Times New Roman" w:eastAsia="Times New Roman" w:hAnsi="Times New Roman"/>
          <w:color w:val="000000"/>
          <w:rtl w:val="0"/>
        </w:rPr>
        <w:t xml:space="preserve">of 27A Collegiate Crescent, Sheffield, S10 2BJ (in this Deed called the “</w:t>
      </w:r>
      <w:r w:rsidDel="00000000" w:rsidR="00000000" w:rsidRPr="00000000">
        <w:rPr>
          <w:rFonts w:ascii="Times New Roman" w:cs="Times New Roman" w:eastAsia="Times New Roman" w:hAnsi="Times New Roman"/>
          <w:b w:val="1"/>
          <w:color w:val="000000"/>
          <w:rtl w:val="0"/>
        </w:rPr>
        <w:t xml:space="preserve">Trustee</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p w:rsidR="00000000" w:rsidDel="00000000" w:rsidP="00000000" w:rsidRDefault="00000000" w:rsidRPr="00000000" w14:paraId="00000009">
      <w:pPr>
        <w:keepNext w:val="1"/>
        <w:numPr>
          <w:ilvl w:val="0"/>
          <w:numId w:val="1"/>
        </w:numPr>
        <w:pBdr>
          <w:top w:space="0" w:sz="0" w:val="nil"/>
          <w:left w:space="0" w:sz="0" w:val="nil"/>
          <w:bottom w:space="0" w:sz="0" w:val="nil"/>
          <w:right w:space="0" w:sz="0" w:val="nil"/>
          <w:between w:space="0" w:sz="0" w:val="nil"/>
        </w:pBdr>
        <w:tabs>
          <w:tab w:val="left" w:pos="0"/>
        </w:tabs>
        <w:spacing w:after="24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The Practitioner Partnership LP trading as Pension Practitioner</w:t>
      </w:r>
      <w:r w:rsidDel="00000000" w:rsidR="00000000" w:rsidRPr="00000000">
        <w:rPr>
          <w:rFonts w:ascii="Times New Roman" w:cs="Times New Roman" w:eastAsia="Times New Roman" w:hAnsi="Times New Roman"/>
          <w:color w:val="000000"/>
          <w:rtl w:val="0"/>
        </w:rPr>
        <w:t xml:space="preserve"> (Registered No 00159) whose registered office is situated at 1st Floor, World Trade Centre, Baytree Road, Gibraltar, GX11 1AA (in this Deed called the “</w:t>
      </w:r>
      <w:r w:rsidDel="00000000" w:rsidR="00000000" w:rsidRPr="00000000">
        <w:rPr>
          <w:rFonts w:ascii="Times New Roman" w:cs="Times New Roman" w:eastAsia="Times New Roman" w:hAnsi="Times New Roman"/>
          <w:b w:val="1"/>
          <w:color w:val="000000"/>
          <w:rtl w:val="0"/>
        </w:rPr>
        <w:t xml:space="preserve">Outgoing Practitioner</w:t>
      </w:r>
      <w:r w:rsidDel="00000000" w:rsidR="00000000" w:rsidRPr="00000000">
        <w:rPr>
          <w:rFonts w:ascii="Times New Roman" w:cs="Times New Roman" w:eastAsia="Times New Roman" w:hAnsi="Times New Roman"/>
          <w:color w:val="000000"/>
          <w:rtl w:val="0"/>
        </w:rPr>
        <w:t xml:space="preserve">”); and</w:t>
      </w:r>
    </w:p>
    <w:p w:rsidR="00000000" w:rsidDel="00000000" w:rsidP="00000000" w:rsidRDefault="00000000" w:rsidRPr="00000000" w14:paraId="0000000A">
      <w:pPr>
        <w:keepNext w:val="1"/>
        <w:numPr>
          <w:ilvl w:val="0"/>
          <w:numId w:val="1"/>
        </w:numPr>
        <w:pBdr>
          <w:top w:space="0" w:sz="0" w:val="nil"/>
          <w:left w:space="0" w:sz="0" w:val="nil"/>
          <w:bottom w:space="0" w:sz="0" w:val="nil"/>
          <w:right w:space="0" w:sz="0" w:val="nil"/>
          <w:between w:space="0" w:sz="0" w:val="nil"/>
        </w:pBdr>
        <w:tabs>
          <w:tab w:val="left" w:pos="0"/>
        </w:tabs>
        <w:spacing w:after="24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RC Administration Limited</w:t>
      </w:r>
      <w:r w:rsidDel="00000000" w:rsidR="00000000" w:rsidRPr="00000000">
        <w:rPr>
          <w:rFonts w:ascii="Times New Roman" w:cs="Times New Roman" w:eastAsia="Times New Roman" w:hAnsi="Times New Roman"/>
          <w:color w:val="000000"/>
          <w:rtl w:val="0"/>
        </w:rPr>
        <w:t xml:space="preserve"> (Company No 12409200) whose registered office is situated at 1a Park Lane, Poynton, Stockport, England, SK12 1RD (in this Deed called the “</w:t>
      </w:r>
      <w:r w:rsidDel="00000000" w:rsidR="00000000" w:rsidRPr="00000000">
        <w:rPr>
          <w:rFonts w:ascii="Times New Roman" w:cs="Times New Roman" w:eastAsia="Times New Roman" w:hAnsi="Times New Roman"/>
          <w:b w:val="1"/>
          <w:color w:val="000000"/>
          <w:rtl w:val="0"/>
        </w:rPr>
        <w:t xml:space="preserve">Incoming Practitioner</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0B">
      <w:pPr>
        <w:keepNext w:val="1"/>
        <w:pBdr>
          <w:top w:space="0" w:sz="0" w:val="nil"/>
          <w:left w:space="0" w:sz="0" w:val="nil"/>
          <w:bottom w:space="0" w:sz="0" w:val="nil"/>
          <w:right w:space="0" w:sz="0" w:val="nil"/>
          <w:between w:space="0" w:sz="0" w:val="nil"/>
        </w:pBdr>
        <w:tabs>
          <w:tab w:val="left" w:pos="0"/>
        </w:tabs>
        <w:spacing w:after="240" w:line="240"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tabs>
          <w:tab w:val="left" w:pos="567"/>
        </w:tabs>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Noel Village (Steel Founder) Ltd RBS SSAS </w:t>
      </w:r>
      <w:r w:rsidDel="00000000" w:rsidR="00000000" w:rsidRPr="00000000">
        <w:rPr>
          <w:rFonts w:ascii="Times New Roman" w:cs="Times New Roman" w:eastAsia="Times New Roman" w:hAnsi="Times New Roman"/>
          <w:color w:val="000000"/>
          <w:rtl w:val="0"/>
        </w:rPr>
        <w:t xml:space="preserve">(in this Deed called the “</w:t>
      </w:r>
      <w:r w:rsidDel="00000000" w:rsidR="00000000" w:rsidRPr="00000000">
        <w:rPr>
          <w:rFonts w:ascii="Times New Roman" w:cs="Times New Roman" w:eastAsia="Times New Roman" w:hAnsi="Times New Roman"/>
          <w:b w:val="1"/>
          <w:color w:val="000000"/>
          <w:rtl w:val="0"/>
        </w:rPr>
        <w:t xml:space="preserve">Scheme</w:t>
      </w:r>
      <w:r w:rsidDel="00000000" w:rsidR="00000000" w:rsidRPr="00000000">
        <w:rPr>
          <w:rFonts w:ascii="Times New Roman" w:cs="Times New Roman" w:eastAsia="Times New Roman" w:hAnsi="Times New Roman"/>
          <w:color w:val="000000"/>
          <w:rtl w:val="0"/>
        </w:rPr>
        <w:t xml:space="preserve">”) is a registered pension scheme currently governed by a Deed of Amendment Adopting Replacement Provisions dated 22</w:t>
      </w:r>
      <w:r w:rsidDel="00000000" w:rsidR="00000000" w:rsidRPr="00000000">
        <w:rPr>
          <w:rFonts w:ascii="Times New Roman" w:cs="Times New Roman" w:eastAsia="Times New Roman" w:hAnsi="Times New Roman"/>
          <w:color w:val="000000"/>
          <w:vertAlign w:val="superscript"/>
          <w:rtl w:val="0"/>
        </w:rPr>
        <w:t xml:space="preserve">nd</w:t>
      </w:r>
      <w:r w:rsidDel="00000000" w:rsidR="00000000" w:rsidRPr="00000000">
        <w:rPr>
          <w:rFonts w:ascii="Times New Roman" w:cs="Times New Roman" w:eastAsia="Times New Roman" w:hAnsi="Times New Roman"/>
          <w:color w:val="000000"/>
          <w:rtl w:val="0"/>
        </w:rPr>
        <w:t xml:space="preserve"> March 2022 and all subsequent amending deeds (in this Deed called the “</w:t>
      </w:r>
      <w:r w:rsidDel="00000000" w:rsidR="00000000" w:rsidRPr="00000000">
        <w:rPr>
          <w:rFonts w:ascii="Times New Roman" w:cs="Times New Roman" w:eastAsia="Times New Roman" w:hAnsi="Times New Roman"/>
          <w:b w:val="1"/>
          <w:color w:val="000000"/>
          <w:rtl w:val="0"/>
        </w:rPr>
        <w:t xml:space="preserve">Existing Provisions</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567"/>
        </w:tabs>
        <w:spacing w:line="24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tabs>
          <w:tab w:val="left" w:pos="567"/>
        </w:tabs>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The Trustee is the current member trustee to the Scheme.</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567"/>
        </w:tabs>
        <w:spacing w:line="24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tabs>
          <w:tab w:val="left" w:pos="567"/>
        </w:tabs>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The Outgoing Practitioner is the present Registered Practitioner to the Scheme.</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567"/>
        </w:tabs>
        <w:spacing w:line="240" w:lineRule="auto"/>
        <w:ind w:left="0" w:hanging="2"/>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tabs>
          <w:tab w:val="left" w:pos="567"/>
        </w:tabs>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Trustee is desirous to replace the Outgoing Practitioner in its entirety as </w:t>
      </w:r>
      <w:r w:rsidDel="00000000" w:rsidR="00000000" w:rsidRPr="00000000">
        <w:rPr>
          <w:rFonts w:ascii="Times New Roman" w:cs="Times New Roman" w:eastAsia="Times New Roman" w:hAnsi="Times New Roman"/>
          <w:rtl w:val="0"/>
        </w:rPr>
        <w:t xml:space="preserve">their agent and Practitioner </w:t>
      </w:r>
      <w:r w:rsidDel="00000000" w:rsidR="00000000" w:rsidRPr="00000000">
        <w:rPr>
          <w:rFonts w:ascii="Times New Roman" w:cs="Times New Roman" w:eastAsia="Times New Roman" w:hAnsi="Times New Roman"/>
          <w:color w:val="000000"/>
          <w:rtl w:val="0"/>
        </w:rPr>
        <w:t xml:space="preserve">and appoint the Incoming Practitioner to the office of Practitioner of the Scheme in its stead.</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567"/>
        </w:tabs>
        <w:spacing w:line="24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567"/>
        </w:tabs>
        <w:spacing w:line="24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Operative Provisions</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567"/>
        </w:tabs>
        <w:spacing w:line="24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tabs>
          <w:tab w:val="left" w:pos="709"/>
          <w:tab w:val="left" w:pos="1447"/>
          <w:tab w:val="left" w:pos="2430"/>
          <w:tab w:val="left" w:pos="3655"/>
          <w:tab w:val="left" w:pos="4320"/>
          <w:tab w:val="left" w:pos="5040"/>
          <w:tab w:val="left" w:pos="5760"/>
          <w:tab w:val="left" w:pos="6480"/>
          <w:tab w:val="left" w:pos="7200"/>
          <w:tab w:val="left" w:pos="7920"/>
        </w:tabs>
        <w:spacing w:after="240" w:line="240" w:lineRule="auto"/>
        <w:ind w:left="708" w:hanging="427"/>
        <w:jc w:val="both"/>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Times New Roman" w:cs="Times New Roman" w:eastAsia="Times New Roman" w:hAnsi="Times New Roman"/>
          <w:color w:val="000000"/>
          <w:rtl w:val="0"/>
        </w:rPr>
        <w:t xml:space="preserve">Pursuant to Clauses 4.1 and 4.2 of the Existing Provisions the Trustee hereby replaces the Outgoing Practitioner in its entirety as the registered practitioner of the Scheme and appoints the Incoming Practitioner as their agent and to act as practitioner on their behalf, in connection with any matters within the responsibility of HMRC, under Practitioner ID number 00024926 and to view information held on the HMRC Pension Scheme Service in relation to the Scheme, and to do any other thing whatsoever in connection with or incidental to (in respect of any period from and including 6th April 2006) the discharge of all duties relating to the Scheme which are imposed on the scheme administrator and/or the maintenance of the registered status of the Scheme under Part 4 of the Finance Act 2004.</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tabs>
          <w:tab w:val="left" w:pos="0"/>
          <w:tab w:val="left" w:pos="709"/>
          <w:tab w:val="left" w:pos="1447"/>
          <w:tab w:val="left" w:pos="2430"/>
          <w:tab w:val="left" w:pos="3655"/>
          <w:tab w:val="left" w:pos="4320"/>
          <w:tab w:val="left" w:pos="5040"/>
          <w:tab w:val="left" w:pos="5760"/>
          <w:tab w:val="left" w:pos="6480"/>
          <w:tab w:val="left" w:pos="7200"/>
          <w:tab w:val="left" w:pos="7920"/>
        </w:tabs>
        <w:spacing w:after="240" w:line="240" w:lineRule="auto"/>
        <w:ind w:left="708" w:hanging="42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Incoming Practitioner consents to their appointment as the registered practitioner to the Scheme.</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tabs>
          <w:tab w:val="left" w:pos="0"/>
          <w:tab w:val="left" w:pos="709"/>
          <w:tab w:val="left" w:pos="1447"/>
          <w:tab w:val="left" w:pos="2430"/>
          <w:tab w:val="left" w:pos="3655"/>
          <w:tab w:val="left" w:pos="4320"/>
          <w:tab w:val="left" w:pos="5040"/>
          <w:tab w:val="left" w:pos="5760"/>
          <w:tab w:val="left" w:pos="6480"/>
          <w:tab w:val="left" w:pos="7200"/>
          <w:tab w:val="left" w:pos="7920"/>
        </w:tabs>
        <w:spacing w:after="240" w:line="240" w:lineRule="auto"/>
        <w:ind w:left="708" w:hanging="42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Outgoing Practitioner acknowledges and consents to their removal and replacement as the registered practitioner to the Scheme by the Incoming Practitioner.</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tabs>
          <w:tab w:val="left" w:pos="0"/>
          <w:tab w:val="left" w:pos="709"/>
          <w:tab w:val="left" w:pos="1447"/>
          <w:tab w:val="left" w:pos="2430"/>
          <w:tab w:val="left" w:pos="3655"/>
          <w:tab w:val="left" w:pos="4320"/>
          <w:tab w:val="left" w:pos="5040"/>
          <w:tab w:val="left" w:pos="5760"/>
          <w:tab w:val="left" w:pos="6480"/>
          <w:tab w:val="left" w:pos="7200"/>
          <w:tab w:val="left" w:pos="7920"/>
        </w:tabs>
        <w:spacing w:after="240" w:line="240" w:lineRule="auto"/>
        <w:ind w:left="708" w:hanging="42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Trustee may vary, revoke and add to any part of this Deed by execution of a Deed of Amendment.</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240" w:lineRule="auto"/>
        <w:ind w:left="708" w:hanging="42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provisions of this appointment have effect on and from its date.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24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WITNESS OF WHICH this document is executed as a deed and is delivered on the date stated above.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keepLines w:val="1"/>
        <w:pBdr>
          <w:top w:space="0" w:sz="0" w:val="nil"/>
          <w:left w:space="0" w:sz="0" w:val="nil"/>
          <w:bottom w:space="0" w:sz="0" w:val="nil"/>
          <w:right w:space="0" w:sz="0" w:val="nil"/>
          <w:between w:space="0" w:sz="0" w:val="nil"/>
        </w:pBdr>
        <w:tabs>
          <w:tab w:val="left" w:pos="1260"/>
          <w:tab w:val="left" w:pos="2160"/>
          <w:tab w:val="left" w:pos="5940"/>
        </w:tabs>
        <w:spacing w:line="30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SIGNED as a deed, and delivered when dated, by </w:t>
      </w:r>
    </w:p>
    <w:p w:rsidR="00000000" w:rsidDel="00000000" w:rsidP="00000000" w:rsidRDefault="00000000" w:rsidRPr="00000000" w14:paraId="00000020">
      <w:pPr>
        <w:keepLines w:val="1"/>
        <w:pBdr>
          <w:top w:space="0" w:sz="0" w:val="nil"/>
          <w:left w:space="0" w:sz="0" w:val="nil"/>
          <w:bottom w:space="0" w:sz="0" w:val="nil"/>
          <w:right w:space="0" w:sz="0" w:val="nil"/>
          <w:between w:space="0" w:sz="0" w:val="nil"/>
        </w:pBdr>
        <w:tabs>
          <w:tab w:val="left" w:pos="1260"/>
          <w:tab w:val="left" w:pos="2160"/>
          <w:tab w:val="left" w:pos="5940"/>
        </w:tabs>
        <w:spacing w:line="30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r>
    </w:p>
    <w:p w:rsidR="00000000" w:rsidDel="00000000" w:rsidP="00000000" w:rsidRDefault="00000000" w:rsidRPr="00000000" w14:paraId="00000021">
      <w:pPr>
        <w:keepLines w:val="1"/>
        <w:pBdr>
          <w:top w:space="0" w:sz="0" w:val="nil"/>
          <w:left w:space="0" w:sz="0" w:val="nil"/>
          <w:bottom w:space="0" w:sz="0" w:val="nil"/>
          <w:right w:space="0" w:sz="0" w:val="nil"/>
          <w:between w:space="0" w:sz="0" w:val="nil"/>
        </w:pBdr>
        <w:tabs>
          <w:tab w:val="left" w:pos="1260"/>
          <w:tab w:val="left" w:pos="2160"/>
          <w:tab w:val="left" w:pos="5940"/>
        </w:tabs>
        <w:spacing w:line="30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Signature:</w:t>
      </w:r>
    </w:p>
    <w:p w:rsidR="00000000" w:rsidDel="00000000" w:rsidP="00000000" w:rsidRDefault="00000000" w:rsidRPr="00000000" w14:paraId="00000022">
      <w:pPr>
        <w:keepLines w:val="1"/>
        <w:pBdr>
          <w:top w:space="0" w:sz="0" w:val="nil"/>
          <w:left w:space="0" w:sz="0" w:val="nil"/>
          <w:bottom w:space="0" w:sz="0" w:val="nil"/>
          <w:right w:space="0" w:sz="0" w:val="nil"/>
          <w:between w:space="0" w:sz="0" w:val="nil"/>
        </w:pBdr>
        <w:tabs>
          <w:tab w:val="left" w:pos="1260"/>
          <w:tab w:val="left" w:pos="2160"/>
          <w:tab w:val="left" w:pos="5940"/>
        </w:tabs>
        <w:spacing w:line="360" w:lineRule="auto"/>
        <w:ind w:left="0" w:right="-57"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Anthony Noel Village</w:t>
      </w:r>
      <w:r w:rsidDel="00000000" w:rsidR="00000000" w:rsidRPr="00000000">
        <w:rPr>
          <w:rFonts w:ascii="Times New Roman" w:cs="Times New Roman" w:eastAsia="Times New Roman" w:hAnsi="Times New Roman"/>
          <w:color w:val="000000"/>
          <w:rtl w:val="0"/>
        </w:rPr>
        <w:br w:type="textWrapping"/>
        <w:t xml:space="preserve">Witnessed in presence of: </w:t>
      </w:r>
    </w:p>
    <w:p w:rsidR="00000000" w:rsidDel="00000000" w:rsidP="00000000" w:rsidRDefault="00000000" w:rsidRPr="00000000" w14:paraId="00000023">
      <w:pPr>
        <w:keepLines w:val="1"/>
        <w:pBdr>
          <w:top w:space="0" w:sz="0" w:val="nil"/>
          <w:left w:space="0" w:sz="0" w:val="nil"/>
          <w:bottom w:space="0" w:sz="0" w:val="nil"/>
          <w:right w:space="0" w:sz="0" w:val="nil"/>
          <w:between w:space="0" w:sz="0" w:val="nil"/>
        </w:pBdr>
        <w:tabs>
          <w:tab w:val="left" w:pos="1260"/>
          <w:tab w:val="left" w:pos="2160"/>
          <w:tab w:val="left" w:pos="5940"/>
        </w:tabs>
        <w:spacing w:line="360" w:lineRule="auto"/>
        <w:ind w:left="0" w:right="-57"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4">
      <w:pPr>
        <w:keepLines w:val="1"/>
        <w:pBdr>
          <w:top w:space="0" w:sz="0" w:val="nil"/>
          <w:left w:space="0" w:sz="0" w:val="nil"/>
          <w:bottom w:space="0" w:sz="0" w:val="nil"/>
          <w:right w:space="0" w:sz="0" w:val="nil"/>
          <w:between w:space="0" w:sz="0" w:val="nil"/>
        </w:pBdr>
        <w:tabs>
          <w:tab w:val="left" w:pos="1260"/>
          <w:tab w:val="left" w:pos="2160"/>
          <w:tab w:val="left" w:pos="5940"/>
        </w:tabs>
        <w:spacing w:line="480" w:lineRule="auto"/>
        <w:ind w:left="0" w:right="-57"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Signature:</w:t>
        <w:br w:type="textWrapping"/>
        <w:t xml:space="preserve">Name:</w:t>
        <w:br w:type="textWrapping"/>
        <w:t xml:space="preserve">Address:</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color w:val="000000"/>
          <w:rtl w:val="0"/>
        </w:rPr>
        <w:t xml:space="preserve">The Practitioner Partnership LP trading as Pension Practitioner</w:t>
      </w:r>
      <w:r w:rsidDel="00000000" w:rsidR="00000000" w:rsidRPr="00000000">
        <w:rPr>
          <w:rFonts w:ascii="Times New Roman" w:cs="Times New Roman" w:eastAsia="Times New Roman" w:hAnsi="Times New Roman"/>
          <w:color w:val="000000"/>
          <w:rtl w:val="0"/>
        </w:rPr>
        <w:br w:type="textWrapping"/>
        <w:t xml:space="preserve">acting by</w:t>
        <w:tab/>
        <w:br w:type="textWrapping"/>
        <w:br w:type="textWrapping"/>
        <w:t xml:space="preserve">Partner</w:t>
        <w:tab/>
        <w:tab/>
        <w:t xml:space="preserve">Signature: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t xml:space="preserve">           </w:t>
        <w:tab/>
        <w:tab/>
        <w:t xml:space="preserve">Name:</w:t>
        <w:br w:type="textWrapping"/>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Witness</w:t>
        <w:tab/>
        <w:t xml:space="preserve">Signature: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tab/>
        <w:tab/>
        <w:t xml:space="preserve">Name:</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tab/>
        <w:t xml:space="preserve">   Address:</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color w:val="000000"/>
          <w:rtl w:val="0"/>
        </w:rPr>
        <w:t xml:space="preserve">RC Administration Limited</w:t>
      </w:r>
      <w:r w:rsidDel="00000000" w:rsidR="00000000" w:rsidRPr="00000000">
        <w:rPr>
          <w:rFonts w:ascii="Times New Roman" w:cs="Times New Roman" w:eastAsia="Times New Roman" w:hAnsi="Times New Roman"/>
          <w:color w:val="000000"/>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t xml:space="preserve">           </w:t>
        <w:tab/>
        <w:tab/>
        <w:t xml:space="preserve">Name:</w:t>
        <w:br w:type="textWrapping"/>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Witness</w:t>
        <w:tab/>
        <w:t xml:space="preserve">Signature:</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tab/>
        <w:tab/>
        <w:t xml:space="preserve">Name:</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pos="1260"/>
          <w:tab w:val="left" w:pos="2160"/>
          <w:tab w:val="left" w:pos="5940"/>
        </w:tabs>
        <w:spacing w:line="300" w:lineRule="auto"/>
        <w:ind w:left="0" w:right="4529"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tab/>
        <w:t xml:space="preserve">   Address: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996" w:hanging="360"/>
      </w:pPr>
      <w:rPr>
        <w:vertAlign w:val="baseline"/>
      </w:rPr>
    </w:lvl>
    <w:lvl w:ilvl="1">
      <w:start w:val="1"/>
      <w:numFmt w:val="lowerLetter"/>
      <w:lvlText w:val="%2."/>
      <w:lvlJc w:val="left"/>
      <w:pPr>
        <w:ind w:left="2716" w:hanging="360"/>
      </w:pPr>
      <w:rPr>
        <w:vertAlign w:val="baseline"/>
      </w:rPr>
    </w:lvl>
    <w:lvl w:ilvl="2">
      <w:start w:val="1"/>
      <w:numFmt w:val="lowerRoman"/>
      <w:lvlText w:val="%3."/>
      <w:lvlJc w:val="right"/>
      <w:pPr>
        <w:ind w:left="3436" w:hanging="180"/>
      </w:pPr>
      <w:rPr>
        <w:vertAlign w:val="baseline"/>
      </w:rPr>
    </w:lvl>
    <w:lvl w:ilvl="3">
      <w:start w:val="1"/>
      <w:numFmt w:val="decimal"/>
      <w:lvlText w:val="%4."/>
      <w:lvlJc w:val="left"/>
      <w:pPr>
        <w:ind w:left="4156" w:hanging="360"/>
      </w:pPr>
      <w:rPr>
        <w:vertAlign w:val="baseline"/>
      </w:rPr>
    </w:lvl>
    <w:lvl w:ilvl="4">
      <w:start w:val="1"/>
      <w:numFmt w:val="lowerLetter"/>
      <w:lvlText w:val="%5."/>
      <w:lvlJc w:val="left"/>
      <w:pPr>
        <w:ind w:left="4876" w:hanging="360"/>
      </w:pPr>
      <w:rPr>
        <w:vertAlign w:val="baseline"/>
      </w:rPr>
    </w:lvl>
    <w:lvl w:ilvl="5">
      <w:start w:val="1"/>
      <w:numFmt w:val="lowerRoman"/>
      <w:lvlText w:val="%6."/>
      <w:lvlJc w:val="right"/>
      <w:pPr>
        <w:ind w:left="5596" w:hanging="180"/>
      </w:pPr>
      <w:rPr>
        <w:vertAlign w:val="baseline"/>
      </w:rPr>
    </w:lvl>
    <w:lvl w:ilvl="6">
      <w:start w:val="1"/>
      <w:numFmt w:val="decimal"/>
      <w:lvlText w:val="%7."/>
      <w:lvlJc w:val="left"/>
      <w:pPr>
        <w:ind w:left="6316" w:hanging="360"/>
      </w:pPr>
      <w:rPr>
        <w:vertAlign w:val="baseline"/>
      </w:rPr>
    </w:lvl>
    <w:lvl w:ilvl="7">
      <w:start w:val="1"/>
      <w:numFmt w:val="lowerLetter"/>
      <w:lvlText w:val="%8."/>
      <w:lvlJc w:val="left"/>
      <w:pPr>
        <w:ind w:left="7036" w:hanging="360"/>
      </w:pPr>
      <w:rPr>
        <w:vertAlign w:val="baseline"/>
      </w:rPr>
    </w:lvl>
    <w:lvl w:ilvl="8">
      <w:start w:val="1"/>
      <w:numFmt w:val="lowerRoman"/>
      <w:lvlText w:val="%9."/>
      <w:lvlJc w:val="right"/>
      <w:pPr>
        <w:ind w:left="7756"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style>
  <w:style w:type="paragraph" w:styleId="Heading2">
    <w:name w:val="heading 2"/>
    <w:basedOn w:val="Normal"/>
    <w:next w:val="Normal"/>
    <w:pPr/>
    <w:rPr/>
  </w:style>
  <w:style w:type="paragraph" w:styleId="Heading3">
    <w:name w:val="heading 3"/>
    <w:basedOn w:val="Normal"/>
    <w:next w:val="Normal"/>
    <w:pPr/>
    <w:rPr/>
  </w:style>
  <w:style w:type="paragraph" w:styleId="Heading4">
    <w:name w:val="heading 4"/>
    <w:basedOn w:val="Normal"/>
    <w:next w:val="Normal"/>
    <w:pPr/>
    <w:rPr/>
  </w:style>
  <w:style w:type="paragraph" w:styleId="Heading5">
    <w:name w:val="heading 5"/>
    <w:basedOn w:val="Normal"/>
    <w:next w:val="Normal"/>
    <w:pPr/>
    <w:rPr/>
  </w:style>
  <w:style w:type="paragraph" w:styleId="Heading6">
    <w:name w:val="heading 6"/>
    <w:basedOn w:val="Normal"/>
    <w:next w:val="Normal"/>
    <w:pPr/>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widowControl w:val="0"/>
      <w:overflowPunct w:val="0"/>
      <w:autoSpaceDE w:val="0"/>
      <w:spacing w:line="1" w:lineRule="atLeast"/>
      <w:ind w:left="-1" w:leftChars="-1" w:hanging="1" w:hangingChars="1"/>
      <w:textDirection w:val="btLr"/>
      <w:textAlignment w:val="baseline"/>
      <w:outlineLvl w:val="0"/>
    </w:pPr>
    <w:rPr>
      <w:rFonts w:ascii="Arial" w:hAnsi="Arial"/>
      <w:position w:val="-1"/>
      <w:sz w:val="24"/>
      <w:lang w:eastAsia="ar-SA" w:val="en-GB"/>
    </w:rPr>
  </w:style>
  <w:style w:type="paragraph" w:styleId="1">
    <w:name w:val="heading 1"/>
    <w:basedOn w:val="a"/>
    <w:next w:val="a"/>
  </w:style>
  <w:style w:type="paragraph" w:styleId="2">
    <w:name w:val="heading 2"/>
    <w:basedOn w:val="a"/>
    <w:next w:val="a"/>
    <w:pPr>
      <w:outlineLvl w:val="1"/>
    </w:pPr>
  </w:style>
  <w:style w:type="paragraph" w:styleId="3">
    <w:name w:val="heading 3"/>
    <w:basedOn w:val="a"/>
    <w:next w:val="a"/>
    <w:pPr>
      <w:outlineLvl w:val="2"/>
    </w:pPr>
  </w:style>
  <w:style w:type="paragraph" w:styleId="4">
    <w:name w:val="heading 4"/>
    <w:basedOn w:val="a"/>
    <w:next w:val="a"/>
    <w:pPr>
      <w:outlineLvl w:val="3"/>
    </w:pPr>
  </w:style>
  <w:style w:type="paragraph" w:styleId="5">
    <w:name w:val="heading 5"/>
    <w:basedOn w:val="a"/>
    <w:next w:val="a"/>
    <w:pPr>
      <w:outlineLvl w:val="4"/>
    </w:pPr>
  </w:style>
  <w:style w:type="paragraph" w:styleId="6">
    <w:name w:val="heading 6"/>
    <w:basedOn w:val="a"/>
    <w:next w:val="a"/>
    <w:pPr>
      <w:outlineLvl w:val="5"/>
    </w:pPr>
  </w:style>
  <w:style w:type="paragraph" w:styleId="7">
    <w:name w:val="heading 7"/>
    <w:basedOn w:val="a"/>
    <w:next w:val="a"/>
    <w:pPr>
      <w:outlineLvl w:val="6"/>
    </w:pPr>
  </w:style>
  <w:style w:type="paragraph" w:styleId="8">
    <w:name w:val="heading 8"/>
    <w:basedOn w:val="a"/>
    <w:next w:val="a"/>
    <w:pPr>
      <w:outlineLvl w:val="7"/>
    </w:pPr>
  </w:style>
  <w:style w:type="paragraph" w:styleId="9">
    <w:name w:val="heading 9"/>
    <w:basedOn w:val="a"/>
    <w:next w:val="a"/>
    <w:pPr>
      <w:outlineLvl w:val="8"/>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character" w:styleId="WW8Num2z0" w:customStyle="1">
    <w:name w:val="WW8Num2z0"/>
    <w:rPr>
      <w:rFonts w:ascii="Arial" w:cs="Arial" w:hAnsi="Arial"/>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8Num1z0" w:customStyle="1">
    <w:name w:val="WW8Num1z0"/>
    <w:rPr>
      <w:rFonts w:ascii="Arial" w:cs="Arial" w:hAnsi="Arial"/>
      <w:w w:val="100"/>
      <w:position w:val="-1"/>
      <w:effect w:val="none"/>
      <w:vertAlign w:val="baseline"/>
      <w:cs w:val="0"/>
      <w:em w:val="none"/>
    </w:rPr>
  </w:style>
  <w:style w:type="character" w:styleId="WW8NumSt3z0" w:customStyle="1">
    <w:name w:val="WW8NumSt3z0"/>
    <w:rPr>
      <w:rFonts w:ascii="Arial" w:cs="Arial" w:hAnsi="Arial"/>
      <w:w w:val="100"/>
      <w:position w:val="-1"/>
      <w:effect w:val="none"/>
      <w:vertAlign w:val="baseline"/>
      <w:cs w:val="0"/>
      <w:em w:val="none"/>
    </w:rPr>
  </w:style>
  <w:style w:type="character" w:styleId="a4">
    <w:name w:val="Strong"/>
    <w:rPr>
      <w:b w:val="1"/>
      <w:w w:val="100"/>
      <w:position w:val="-1"/>
      <w:effect w:val="none"/>
      <w:vertAlign w:val="baseline"/>
      <w:cs w:val="0"/>
      <w:em w:val="none"/>
    </w:rPr>
  </w:style>
  <w:style w:type="paragraph" w:styleId="Heading" w:customStyle="1">
    <w:name w:val="Heading"/>
    <w:basedOn w:val="a"/>
    <w:next w:val="a5"/>
    <w:pPr>
      <w:keepNext w:val="1"/>
      <w:spacing w:after="120" w:before="240"/>
    </w:pPr>
    <w:rPr>
      <w:rFonts w:cs="Tahoma" w:eastAsia="Lucida Sans Unicode"/>
      <w:sz w:val="28"/>
      <w:szCs w:val="28"/>
    </w:rPr>
  </w:style>
  <w:style w:type="paragraph" w:styleId="a5">
    <w:name w:val="Body Text"/>
    <w:basedOn w:val="a"/>
    <w:pPr>
      <w:spacing w:after="120"/>
    </w:pPr>
  </w:style>
  <w:style w:type="paragraph" w:styleId="a6">
    <w:name w:val="List"/>
    <w:basedOn w:val="a5"/>
    <w:rPr>
      <w:rFonts w:cs="Tahoma"/>
    </w:rPr>
  </w:style>
  <w:style w:type="paragraph" w:styleId="a7">
    <w:name w:val="caption"/>
    <w:basedOn w:val="a"/>
    <w:pPr>
      <w:suppressLineNumbers w:val="1"/>
      <w:spacing w:after="120" w:before="120"/>
    </w:pPr>
    <w:rPr>
      <w:rFonts w:cs="Tahoma"/>
      <w:i w:val="1"/>
      <w:iCs w:val="1"/>
      <w:szCs w:val="24"/>
    </w:rPr>
  </w:style>
  <w:style w:type="paragraph" w:styleId="Index" w:customStyle="1">
    <w:name w:val="Index"/>
    <w:basedOn w:val="a"/>
    <w:pPr>
      <w:suppressLineNumbers w:val="1"/>
    </w:pPr>
    <w:rPr>
      <w:rFonts w:cs="Tahoma"/>
    </w:rPr>
  </w:style>
  <w:style w:type="paragraph" w:styleId="a8">
    <w:name w:val="Balloon Text"/>
    <w:basedOn w:val="a"/>
    <w:rPr>
      <w:rFonts w:ascii="Tahoma" w:hAnsi="Tahoma"/>
      <w:sz w:val="16"/>
    </w:rPr>
  </w:style>
  <w:style w:type="paragraph" w:styleId="a9">
    <w:name w:val="List Paragraph"/>
    <w:basedOn w:val="a"/>
    <w:pPr>
      <w:ind w:left="720"/>
      <w:contextualSpacing w:val="1"/>
    </w:pPr>
  </w:style>
  <w:style w:type="paragraph" w:styleId="aa">
    <w:name w:val="Normal (Web)"/>
    <w:basedOn w:val="a"/>
    <w:qFormat w:val="1"/>
    <w:pPr>
      <w:widowControl w:val="1"/>
      <w:suppressAutoHyphens w:val="1"/>
      <w:overflowPunct w:val="1"/>
      <w:autoSpaceDE w:val="1"/>
      <w:spacing w:after="100" w:afterAutospacing="1" w:before="100" w:beforeAutospacing="1"/>
      <w:textAlignment w:val="auto"/>
    </w:pPr>
    <w:rPr>
      <w:rFonts w:ascii="Times New Roman" w:hAnsi="Times New Roman"/>
      <w:szCs w:val="24"/>
      <w:lang w:eastAsia="en-US" w:val="en-US"/>
    </w:r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ShNJfNGKAXagiFqTjuSlO0A74A==">AMUW2mVBr3zuHqu76kGN22tP+hSg4ZLwRruRsN5rneJFsRXr9poQVamC8tDCX9gxBvhYHjlhtP6y+bgUtX6flnWZiG+wlGeYy+Ofqv/ClbMzYpmTFhBVXwUlRp/oiP5Ufdj1ar0u3GtQ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2022-10-21T13:06:00Z</dcterms:created>
  <dc:creator>gavinmcc</dc:creator>
</cp:coreProperties>
</file>