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83F05" w:rsidRDefault="00A83F05">
      <w:pPr>
        <w:pStyle w:val="Heading1"/>
        <w:keepNext w:val="0"/>
        <w:keepLines w:val="0"/>
        <w:spacing w:before="40" w:after="0"/>
        <w:ind w:right="140"/>
        <w:contextualSpacing w:val="0"/>
        <w:jc w:val="right"/>
      </w:pPr>
      <w:bookmarkStart w:id="0" w:name="h.8j1a6ar7g2t4" w:colFirst="0" w:colLast="0"/>
      <w:bookmarkEnd w:id="0"/>
    </w:p>
    <w:p w:rsidR="00A83F05" w:rsidRDefault="00A83F05"/>
    <w:p w:rsidR="00A83F05" w:rsidRDefault="00A83F05">
      <w:pPr>
        <w:pStyle w:val="Heading1"/>
        <w:keepNext w:val="0"/>
        <w:keepLines w:val="0"/>
        <w:spacing w:before="40" w:after="0"/>
        <w:ind w:right="140"/>
        <w:contextualSpacing w:val="0"/>
        <w:jc w:val="right"/>
      </w:pPr>
      <w:bookmarkStart w:id="1" w:name="h.x44eaxoeayo" w:colFirst="0" w:colLast="0"/>
      <w:bookmarkEnd w:id="1"/>
    </w:p>
    <w:p w:rsidR="00A83F05" w:rsidRDefault="00A83F05"/>
    <w:p w:rsidR="00A83F05" w:rsidRDefault="00A83F05"/>
    <w:p w:rsidR="00A83F05" w:rsidRDefault="00A83F05"/>
    <w:p w:rsidR="00A83F05" w:rsidRDefault="00A83F05">
      <w:pPr>
        <w:pStyle w:val="Heading1"/>
        <w:keepNext w:val="0"/>
        <w:keepLines w:val="0"/>
        <w:spacing w:before="40" w:after="0"/>
        <w:ind w:right="140"/>
        <w:contextualSpacing w:val="0"/>
      </w:pPr>
      <w:bookmarkStart w:id="2" w:name="h.7yru331gr30a" w:colFirst="0" w:colLast="0"/>
      <w:bookmarkEnd w:id="2"/>
    </w:p>
    <w:p w:rsidR="00A83F05" w:rsidRDefault="0040362B">
      <w:pPr>
        <w:pStyle w:val="Heading1"/>
        <w:keepNext w:val="0"/>
        <w:keepLines w:val="0"/>
        <w:spacing w:before="40" w:after="0"/>
        <w:ind w:right="140"/>
        <w:contextualSpacing w:val="0"/>
        <w:jc w:val="right"/>
      </w:pPr>
      <w:bookmarkStart w:id="3" w:name="h.pj1m7b8cmiox" w:colFirst="0" w:colLast="0"/>
      <w:bookmarkEnd w:id="3"/>
      <w:r>
        <w:rPr>
          <w:b/>
          <w:color w:val="808080"/>
          <w:sz w:val="46"/>
          <w:szCs w:val="46"/>
        </w:rPr>
        <w:t>2017 Annual Trustee</w:t>
      </w:r>
      <w:r w:rsidR="00722EF6">
        <w:rPr>
          <w:b/>
          <w:color w:val="808080"/>
          <w:sz w:val="46"/>
          <w:szCs w:val="46"/>
        </w:rPr>
        <w:t xml:space="preserve"> Report</w:t>
      </w:r>
    </w:p>
    <w:p w:rsidR="00A83F05" w:rsidRDefault="00722EF6">
      <w:r>
        <w:rPr>
          <w:color w:val="808080"/>
          <w:sz w:val="28"/>
          <w:szCs w:val="28"/>
        </w:rPr>
        <w:t xml:space="preserve"> </w:t>
      </w:r>
    </w:p>
    <w:p w:rsidR="00A83F05" w:rsidRDefault="00722EF6">
      <w:pPr>
        <w:spacing w:before="80"/>
        <w:ind w:right="120"/>
        <w:jc w:val="right"/>
      </w:pPr>
      <w:proofErr w:type="gramStart"/>
      <w:r>
        <w:t>to</w:t>
      </w:r>
      <w:proofErr w:type="gramEnd"/>
      <w:r>
        <w:t xml:space="preserve"> the Trustees of</w:t>
      </w:r>
    </w:p>
    <w:p w:rsidR="00A83F05" w:rsidRDefault="00722EF6">
      <w:r>
        <w:rPr>
          <w:sz w:val="20"/>
          <w:szCs w:val="20"/>
        </w:rPr>
        <w:t xml:space="preserve"> </w:t>
      </w:r>
    </w:p>
    <w:p w:rsidR="00B06CA3" w:rsidRDefault="00713A59" w:rsidP="0040362B">
      <w:pPr>
        <w:jc w:val="right"/>
        <w:rPr>
          <w:b/>
          <w:color w:val="1FAFD6"/>
          <w:sz w:val="48"/>
          <w:szCs w:val="48"/>
        </w:rPr>
      </w:pPr>
      <w:r>
        <w:rPr>
          <w:b/>
          <w:color w:val="1FAFD6"/>
          <w:sz w:val="48"/>
          <w:szCs w:val="48"/>
        </w:rPr>
        <w:t>P T Dolan Retirement Benefit Scheme</w:t>
      </w:r>
    </w:p>
    <w:p w:rsidR="0036528B" w:rsidRDefault="0036528B" w:rsidP="0036528B">
      <w:pPr>
        <w:jc w:val="right"/>
        <w:rPr>
          <w:b/>
          <w:color w:val="1FAFD6"/>
          <w:sz w:val="48"/>
          <w:szCs w:val="48"/>
        </w:rPr>
      </w:pPr>
    </w:p>
    <w:p w:rsidR="00A83F05" w:rsidRDefault="00722EF6" w:rsidP="0036528B">
      <w:pPr>
        <w:jc w:val="right"/>
      </w:pPr>
      <w:r>
        <w:rPr>
          <w:b/>
          <w:color w:val="1FAFD6"/>
          <w:sz w:val="48"/>
          <w:szCs w:val="48"/>
        </w:rPr>
        <w:t xml:space="preserve"> </w:t>
      </w:r>
    </w:p>
    <w:p w:rsidR="00A83F05" w:rsidRDefault="00A83F05"/>
    <w:p w:rsidR="00A83F05" w:rsidRDefault="00A83F05"/>
    <w:p w:rsidR="00A83F05" w:rsidRDefault="00A83F05"/>
    <w:p w:rsidR="00A83F05" w:rsidRDefault="00A83F05"/>
    <w:p w:rsidR="00A83F05" w:rsidRDefault="00A83F05"/>
    <w:p w:rsidR="00A83F05" w:rsidRDefault="00A83F05"/>
    <w:p w:rsidR="00A83F05" w:rsidRDefault="00A83F05"/>
    <w:p w:rsidR="00A83F05" w:rsidRDefault="00A83F05"/>
    <w:p w:rsidR="00A83F05" w:rsidRDefault="00A83F05"/>
    <w:p w:rsidR="00722EF6" w:rsidRDefault="00722EF6"/>
    <w:p w:rsidR="00F561C0" w:rsidRDefault="00F561C0"/>
    <w:p w:rsidR="00722EF6" w:rsidRDefault="00722EF6"/>
    <w:p w:rsidR="00722EF6" w:rsidRDefault="00722EF6"/>
    <w:p w:rsidR="00A83F05" w:rsidRDefault="00A83F05"/>
    <w:p w:rsidR="00F561C0" w:rsidRDefault="00F561C0"/>
    <w:p w:rsidR="00F561C0" w:rsidRDefault="00F561C0"/>
    <w:p w:rsidR="00A83F05" w:rsidRDefault="00A83F05"/>
    <w:p w:rsidR="00A83F05" w:rsidRDefault="00A83F05"/>
    <w:p w:rsidR="00A83F05" w:rsidRDefault="00A83F05"/>
    <w:p w:rsidR="00A83F05" w:rsidRDefault="00A83F05"/>
    <w:p w:rsidR="00A83F05" w:rsidRDefault="00722EF6">
      <w:pPr>
        <w:spacing w:before="80"/>
        <w:ind w:right="120"/>
        <w:jc w:val="right"/>
      </w:pPr>
      <w:r>
        <w:t>Prepared by</w:t>
      </w:r>
    </w:p>
    <w:p w:rsidR="00A83F05" w:rsidRDefault="00722EF6">
      <w:pPr>
        <w:jc w:val="right"/>
      </w:pPr>
      <w:r>
        <w:rPr>
          <w:noProof/>
        </w:rPr>
        <w:drawing>
          <wp:inline distT="114300" distB="114300" distL="114300" distR="114300">
            <wp:extent cx="2906432" cy="604838"/>
            <wp:effectExtent l="0" t="0" r="0" b="0"/>
            <wp:docPr id="3" name="image07.png" descr="PP.png"/>
            <wp:cNvGraphicFramePr/>
            <a:graphic xmlns:a="http://schemas.openxmlformats.org/drawingml/2006/main">
              <a:graphicData uri="http://schemas.openxmlformats.org/drawingml/2006/picture">
                <pic:pic xmlns:pic="http://schemas.openxmlformats.org/drawingml/2006/picture">
                  <pic:nvPicPr>
                    <pic:cNvPr id="0" name="image07.png" descr="PP.png"/>
                    <pic:cNvPicPr preferRelativeResize="0"/>
                  </pic:nvPicPr>
                  <pic:blipFill>
                    <a:blip r:embed="rId7"/>
                    <a:srcRect/>
                    <a:stretch>
                      <a:fillRect/>
                    </a:stretch>
                  </pic:blipFill>
                  <pic:spPr>
                    <a:xfrm>
                      <a:off x="0" y="0"/>
                      <a:ext cx="2906432" cy="604838"/>
                    </a:xfrm>
                    <a:prstGeom prst="rect">
                      <a:avLst/>
                    </a:prstGeom>
                    <a:ln/>
                  </pic:spPr>
                </pic:pic>
              </a:graphicData>
            </a:graphic>
          </wp:inline>
        </w:drawing>
      </w:r>
    </w:p>
    <w:p w:rsidR="00A83F05" w:rsidRDefault="00A83F05"/>
    <w:p w:rsidR="00A83F05" w:rsidRDefault="00A83F05"/>
    <w:p w:rsidR="00A83F05" w:rsidRDefault="00A83F05"/>
    <w:p w:rsidR="00A83F05" w:rsidRDefault="00A83F05"/>
    <w:p w:rsidR="00A83F05" w:rsidRDefault="00A83F05"/>
    <w:p w:rsidR="00A83F05" w:rsidRDefault="00A83F05"/>
    <w:p w:rsidR="00A83F05" w:rsidRDefault="00A83F05"/>
    <w:p w:rsidR="00A83F05" w:rsidRDefault="00722EF6">
      <w:r>
        <w:rPr>
          <w:sz w:val="20"/>
          <w:szCs w:val="20"/>
        </w:rPr>
        <w:t xml:space="preserve"> </w:t>
      </w:r>
    </w:p>
    <w:p w:rsidR="00A83F05" w:rsidRDefault="00722EF6">
      <w:pPr>
        <w:pStyle w:val="Heading1"/>
        <w:keepNext w:val="0"/>
        <w:keepLines w:val="0"/>
        <w:spacing w:before="40" w:after="0"/>
        <w:ind w:left="1380"/>
        <w:contextualSpacing w:val="0"/>
      </w:pPr>
      <w:bookmarkStart w:id="4" w:name="h.jsa94lxgotbc" w:colFirst="0" w:colLast="0"/>
      <w:bookmarkEnd w:id="4"/>
      <w:r>
        <w:rPr>
          <w:b/>
          <w:color w:val="1FAFD6"/>
          <w:sz w:val="46"/>
          <w:szCs w:val="46"/>
        </w:rPr>
        <w:t xml:space="preserve">Index </w:t>
      </w:r>
    </w:p>
    <w:p w:rsidR="00A83F05" w:rsidRDefault="00722EF6">
      <w:r>
        <w:rPr>
          <w:sz w:val="18"/>
          <w:szCs w:val="18"/>
        </w:rPr>
        <w:t xml:space="preserve"> </w:t>
      </w:r>
    </w:p>
    <w:p w:rsidR="00A83F05" w:rsidRDefault="00722EF6">
      <w:r>
        <w:rPr>
          <w:sz w:val="20"/>
          <w:szCs w:val="20"/>
        </w:rPr>
        <w:t xml:space="preserve"> </w:t>
      </w:r>
    </w:p>
    <w:p w:rsidR="00A83F05" w:rsidRDefault="00722EF6">
      <w:r>
        <w:rPr>
          <w:sz w:val="20"/>
          <w:szCs w:val="20"/>
        </w:rPr>
        <w:t xml:space="preserve"> </w:t>
      </w:r>
    </w:p>
    <w:p w:rsidR="00A83F05" w:rsidRDefault="00722EF6">
      <w:r>
        <w:rPr>
          <w:sz w:val="20"/>
          <w:szCs w:val="20"/>
        </w:rPr>
        <w:t xml:space="preserve"> </w:t>
      </w:r>
    </w:p>
    <w:p w:rsidR="00A83F05" w:rsidRDefault="00722EF6">
      <w:pPr>
        <w:ind w:left="360"/>
      </w:pPr>
      <w:r>
        <w:rPr>
          <w:b/>
          <w:color w:val="808080"/>
        </w:rPr>
        <w:t xml:space="preserve">1.    </w:t>
      </w:r>
      <w:r>
        <w:t>Introduction</w:t>
      </w:r>
    </w:p>
    <w:p w:rsidR="00A83F05" w:rsidRDefault="00722EF6">
      <w:r>
        <w:rPr>
          <w:sz w:val="24"/>
          <w:szCs w:val="24"/>
        </w:rPr>
        <w:t xml:space="preserve"> </w:t>
      </w:r>
    </w:p>
    <w:p w:rsidR="00A83F05" w:rsidRDefault="00722EF6">
      <w:pPr>
        <w:ind w:left="360"/>
      </w:pPr>
      <w:r>
        <w:rPr>
          <w:b/>
          <w:color w:val="808080"/>
        </w:rPr>
        <w:t xml:space="preserve">2.    </w:t>
      </w:r>
      <w:r>
        <w:t>Pension scheme return</w:t>
      </w:r>
    </w:p>
    <w:p w:rsidR="00A83F05" w:rsidRDefault="00722EF6">
      <w:pPr>
        <w:spacing w:before="20"/>
      </w:pPr>
      <w:r>
        <w:rPr>
          <w:rFonts w:ascii="Calibri" w:eastAsia="Calibri" w:hAnsi="Calibri" w:cs="Calibri"/>
        </w:rPr>
        <w:t xml:space="preserve"> </w:t>
      </w:r>
    </w:p>
    <w:p w:rsidR="00A83F05" w:rsidRDefault="00722EF6">
      <w:pPr>
        <w:ind w:left="360"/>
      </w:pPr>
      <w:r>
        <w:rPr>
          <w:b/>
          <w:color w:val="808080"/>
        </w:rPr>
        <w:t xml:space="preserve">3.    </w:t>
      </w:r>
      <w:r>
        <w:t>Inflation report</w:t>
      </w:r>
    </w:p>
    <w:p w:rsidR="008E3C98" w:rsidRDefault="008E3C98">
      <w:pPr>
        <w:ind w:left="360"/>
      </w:pPr>
    </w:p>
    <w:p w:rsidR="008E3C98" w:rsidRDefault="008E3C98">
      <w:pPr>
        <w:ind w:left="360"/>
        <w:rPr>
          <w:b/>
          <w:color w:val="808080"/>
        </w:rPr>
      </w:pPr>
      <w:r w:rsidRPr="008E3C98">
        <w:rPr>
          <w:b/>
          <w:color w:val="808080"/>
        </w:rPr>
        <w:t>4.</w:t>
      </w:r>
      <w:r>
        <w:rPr>
          <w:b/>
          <w:color w:val="808080"/>
        </w:rPr>
        <w:tab/>
        <w:t xml:space="preserve"> </w:t>
      </w:r>
      <w:r w:rsidRPr="008E3C98">
        <w:t>Latest Pension News</w:t>
      </w:r>
    </w:p>
    <w:p w:rsidR="008E3C98" w:rsidRDefault="008E3C98">
      <w:pPr>
        <w:ind w:left="360"/>
        <w:rPr>
          <w:b/>
          <w:color w:val="808080"/>
        </w:rPr>
      </w:pPr>
    </w:p>
    <w:p w:rsidR="008E3C98" w:rsidRDefault="008E3C98">
      <w:pPr>
        <w:ind w:left="360"/>
        <w:rPr>
          <w:b/>
          <w:color w:val="808080"/>
        </w:rPr>
      </w:pPr>
      <w:r>
        <w:rPr>
          <w:b/>
          <w:color w:val="808080"/>
        </w:rPr>
        <w:t>5.</w:t>
      </w:r>
      <w:r w:rsidRPr="008E3C98">
        <w:t xml:space="preserve"> </w:t>
      </w:r>
      <w:r>
        <w:t xml:space="preserve">  </w:t>
      </w:r>
      <w:r w:rsidRPr="008E3C98">
        <w:t>The Beneficiaries of your Pension</w:t>
      </w:r>
    </w:p>
    <w:p w:rsidR="008E3C98" w:rsidRDefault="008E3C98">
      <w:pPr>
        <w:ind w:left="360"/>
        <w:rPr>
          <w:b/>
          <w:color w:val="808080"/>
        </w:rPr>
      </w:pPr>
    </w:p>
    <w:p w:rsidR="008E3C98" w:rsidRDefault="008E3C98">
      <w:pPr>
        <w:ind w:left="360"/>
        <w:rPr>
          <w:b/>
          <w:color w:val="808080"/>
        </w:rPr>
      </w:pPr>
      <w:r>
        <w:rPr>
          <w:b/>
          <w:color w:val="808080"/>
        </w:rPr>
        <w:t xml:space="preserve">6.    </w:t>
      </w:r>
      <w:r w:rsidRPr="008E3C98">
        <w:t>New Services</w:t>
      </w:r>
    </w:p>
    <w:p w:rsidR="008E3C98" w:rsidRDefault="008E3C98">
      <w:pPr>
        <w:ind w:left="360"/>
        <w:rPr>
          <w:b/>
          <w:color w:val="808080"/>
        </w:rPr>
      </w:pPr>
    </w:p>
    <w:p w:rsidR="008E3C98" w:rsidRDefault="008E3C98">
      <w:pPr>
        <w:ind w:left="360"/>
        <w:rPr>
          <w:b/>
          <w:color w:val="808080"/>
        </w:rPr>
      </w:pPr>
      <w:r>
        <w:rPr>
          <w:b/>
          <w:color w:val="808080"/>
        </w:rPr>
        <w:t xml:space="preserve">7.    </w:t>
      </w:r>
      <w:r w:rsidRPr="008E3C98">
        <w:t>Changes</w:t>
      </w:r>
    </w:p>
    <w:p w:rsidR="008E3C98" w:rsidRDefault="008E3C98">
      <w:pPr>
        <w:ind w:left="360"/>
        <w:rPr>
          <w:b/>
          <w:color w:val="808080"/>
        </w:rPr>
      </w:pPr>
    </w:p>
    <w:p w:rsidR="008E3C98" w:rsidRDefault="008E3C98">
      <w:pPr>
        <w:ind w:left="360"/>
        <w:rPr>
          <w:b/>
          <w:color w:val="808080"/>
        </w:rPr>
      </w:pPr>
    </w:p>
    <w:p w:rsidR="008E3C98" w:rsidRPr="008E3C98" w:rsidRDefault="008E3C98">
      <w:pPr>
        <w:ind w:left="360"/>
        <w:rPr>
          <w:b/>
          <w:color w:val="808080"/>
        </w:rPr>
      </w:pPr>
    </w:p>
    <w:p w:rsidR="00A83F05" w:rsidRDefault="00722EF6">
      <w:r>
        <w:t xml:space="preserve"> </w:t>
      </w:r>
    </w:p>
    <w:p w:rsidR="00722EF6" w:rsidRDefault="00722EF6" w:rsidP="00E03577"/>
    <w:p w:rsidR="00A83F05" w:rsidRDefault="00A83F05"/>
    <w:p w:rsidR="00A83F05" w:rsidRDefault="00A83F05"/>
    <w:p w:rsidR="00A83F05" w:rsidRDefault="00A83F05"/>
    <w:p w:rsidR="00A83F05" w:rsidRDefault="00A83F05"/>
    <w:p w:rsidR="00A83F05" w:rsidRDefault="00A83F05"/>
    <w:p w:rsidR="00A83F05" w:rsidRDefault="00A83F05"/>
    <w:p w:rsidR="00A83F05" w:rsidRDefault="00A83F05"/>
    <w:p w:rsidR="00A83F05" w:rsidRDefault="00A83F05"/>
    <w:p w:rsidR="00A83F05" w:rsidRDefault="00A83F05"/>
    <w:p w:rsidR="00A83F05" w:rsidRDefault="00A83F05"/>
    <w:p w:rsidR="00A83F05" w:rsidRDefault="00A83F05"/>
    <w:p w:rsidR="00A83F05" w:rsidRDefault="00A83F05"/>
    <w:p w:rsidR="00A83F05" w:rsidRDefault="00A83F05"/>
    <w:p w:rsidR="00A83F05" w:rsidRDefault="00A83F05"/>
    <w:p w:rsidR="00E03577" w:rsidRDefault="00E03577"/>
    <w:p w:rsidR="00E03577" w:rsidRDefault="00E03577"/>
    <w:p w:rsidR="00E03577" w:rsidRDefault="00E03577"/>
    <w:p w:rsidR="00A83F05" w:rsidRDefault="00722EF6">
      <w:pPr>
        <w:ind w:right="4280"/>
        <w:jc w:val="both"/>
      </w:pPr>
      <w:r>
        <w:rPr>
          <w:b/>
          <w:color w:val="808080"/>
          <w:sz w:val="48"/>
          <w:szCs w:val="48"/>
        </w:rPr>
        <w:lastRenderedPageBreak/>
        <w:t xml:space="preserve">1.           </w:t>
      </w:r>
      <w:r>
        <w:rPr>
          <w:b/>
          <w:color w:val="1FAFD6"/>
          <w:sz w:val="48"/>
          <w:szCs w:val="48"/>
        </w:rPr>
        <w:t>Introduction</w:t>
      </w:r>
    </w:p>
    <w:p w:rsidR="00A83F05" w:rsidRDefault="00722EF6">
      <w:r>
        <w:rPr>
          <w:sz w:val="16"/>
          <w:szCs w:val="16"/>
        </w:rPr>
        <w:t xml:space="preserve"> </w:t>
      </w:r>
    </w:p>
    <w:p w:rsidR="00A83F05" w:rsidRDefault="00722EF6">
      <w:r>
        <w:rPr>
          <w:sz w:val="20"/>
          <w:szCs w:val="20"/>
        </w:rPr>
        <w:t xml:space="preserve"> </w:t>
      </w:r>
    </w:p>
    <w:p w:rsidR="00A83F05" w:rsidRDefault="00722EF6">
      <w:r>
        <w:rPr>
          <w:sz w:val="20"/>
          <w:szCs w:val="20"/>
        </w:rPr>
        <w:t xml:space="preserve"> </w:t>
      </w:r>
    </w:p>
    <w:p w:rsidR="00A83F05" w:rsidRDefault="00722EF6">
      <w:pPr>
        <w:ind w:left="1380" w:right="120"/>
        <w:jc w:val="both"/>
      </w:pPr>
      <w:r>
        <w:t>We are pleased to enclose our annual report to the Trustees following completion of your tax return.</w:t>
      </w:r>
    </w:p>
    <w:p w:rsidR="00A83F05" w:rsidRDefault="00722EF6">
      <w:r>
        <w:rPr>
          <w:sz w:val="20"/>
          <w:szCs w:val="20"/>
        </w:rPr>
        <w:t xml:space="preserve"> </w:t>
      </w:r>
    </w:p>
    <w:p w:rsidR="00A83F05" w:rsidRDefault="00722EF6">
      <w:pPr>
        <w:ind w:left="1380" w:right="100"/>
        <w:jc w:val="both"/>
      </w:pPr>
      <w:r>
        <w:t>This report provides a copy of our tax submissions to HM Revenue &amp; Customs on your behalf, together with our comments where relevant. Please take the time to review this and advise us of anything that you are not in agreement with.</w:t>
      </w:r>
    </w:p>
    <w:p w:rsidR="00A83F05" w:rsidRDefault="00722EF6">
      <w:r>
        <w:rPr>
          <w:sz w:val="20"/>
          <w:szCs w:val="20"/>
        </w:rPr>
        <w:t xml:space="preserve"> </w:t>
      </w:r>
    </w:p>
    <w:p w:rsidR="00A83F05" w:rsidRDefault="00722EF6">
      <w:pPr>
        <w:ind w:left="1380" w:right="1180"/>
        <w:jc w:val="both"/>
      </w:pPr>
      <w:r>
        <w:t>In addition to this, we have also prepared the following for you:</w:t>
      </w:r>
    </w:p>
    <w:p w:rsidR="00A83F05" w:rsidRDefault="00722EF6">
      <w:pPr>
        <w:spacing w:before="20"/>
      </w:pPr>
      <w:r>
        <w:rPr>
          <w:rFonts w:ascii="Calibri" w:eastAsia="Calibri" w:hAnsi="Calibri" w:cs="Calibri"/>
        </w:rPr>
        <w:t xml:space="preserve"> </w:t>
      </w:r>
    </w:p>
    <w:p w:rsidR="00A83F05" w:rsidRDefault="00722EF6">
      <w:pPr>
        <w:spacing w:line="271" w:lineRule="auto"/>
        <w:ind w:left="1980" w:right="100"/>
        <w:jc w:val="both"/>
      </w:pPr>
      <w:r>
        <w:t>•   Infla</w:t>
      </w:r>
      <w:r w:rsidR="0040362B">
        <w:t>tio</w:t>
      </w:r>
      <w:r w:rsidR="00E03577">
        <w:t>n report and outlook for 2017 and beyond</w:t>
      </w:r>
      <w:r>
        <w:t>. The purpose of the inflation report is to help your investment decisions, having regard to the likely direction of inflation over the next 12 months.</w:t>
      </w:r>
    </w:p>
    <w:p w:rsidR="00A83F05" w:rsidRDefault="00722EF6">
      <w:r>
        <w:rPr>
          <w:sz w:val="20"/>
          <w:szCs w:val="20"/>
        </w:rPr>
        <w:t xml:space="preserve"> </w:t>
      </w:r>
    </w:p>
    <w:p w:rsidR="00A83F05" w:rsidRDefault="00722EF6">
      <w:pPr>
        <w:spacing w:line="271" w:lineRule="auto"/>
        <w:ind w:left="1980" w:right="120"/>
        <w:jc w:val="both"/>
      </w:pPr>
      <w:r>
        <w:t>•   Economic and markets report. This summarises in what markets returns are being made, and the likely return on certain asset classes, such as property and equities for the next 12 months.</w:t>
      </w:r>
    </w:p>
    <w:p w:rsidR="00A83F05" w:rsidRDefault="00722EF6">
      <w:r>
        <w:rPr>
          <w:sz w:val="20"/>
          <w:szCs w:val="20"/>
        </w:rPr>
        <w:t xml:space="preserve"> </w:t>
      </w:r>
    </w:p>
    <w:p w:rsidR="00A83F05" w:rsidRDefault="00722EF6">
      <w:pPr>
        <w:ind w:left="1980" w:right="120"/>
        <w:jc w:val="both"/>
      </w:pPr>
      <w:r>
        <w:t>•   A recent news up</w:t>
      </w:r>
      <w:r w:rsidR="0040362B">
        <w:t>date in the pensions industry. As always, t</w:t>
      </w:r>
      <w:r>
        <w:t>here have been a number of cha</w:t>
      </w:r>
      <w:r w:rsidR="0040362B">
        <w:t>nges since</w:t>
      </w:r>
      <w:r>
        <w:t xml:space="preserve"> April 2016 and we have summarised the key issues and how you may be affected including the reduction in the Lifetime Allowance.</w:t>
      </w:r>
    </w:p>
    <w:p w:rsidR="00A83F05" w:rsidRDefault="00722EF6">
      <w:pPr>
        <w:jc w:val="both"/>
      </w:pPr>
      <w:r>
        <w:rPr>
          <w:rFonts w:ascii="Calibri" w:eastAsia="Calibri" w:hAnsi="Calibri" w:cs="Calibri"/>
        </w:rPr>
        <w:t xml:space="preserve"> </w:t>
      </w:r>
    </w:p>
    <w:p w:rsidR="00A83F05" w:rsidRPr="00713A59" w:rsidRDefault="00722EF6">
      <w:pPr>
        <w:ind w:left="1980" w:right="120"/>
        <w:jc w:val="both"/>
      </w:pPr>
      <w:r w:rsidRPr="00713A59">
        <w:t>•   The rules have changed relating to how pensions are distributed on death. We have summ</w:t>
      </w:r>
      <w:r w:rsidR="00713A59" w:rsidRPr="00713A59">
        <w:t>arised these changes and</w:t>
      </w:r>
      <w:r w:rsidRPr="00713A59">
        <w:t xml:space="preserve"> in particular, highlighted where pension planning is needed.</w:t>
      </w:r>
    </w:p>
    <w:p w:rsidR="00A83F05" w:rsidRPr="00713A59" w:rsidRDefault="00722EF6">
      <w:pPr>
        <w:ind w:left="720" w:right="120"/>
        <w:jc w:val="both"/>
      </w:pPr>
      <w:r w:rsidRPr="00713A59">
        <w:t xml:space="preserve"> </w:t>
      </w:r>
    </w:p>
    <w:p w:rsidR="00A83F05" w:rsidRDefault="00722EF6">
      <w:pPr>
        <w:ind w:left="1980" w:right="120"/>
        <w:jc w:val="both"/>
      </w:pPr>
      <w:r w:rsidRPr="00713A59">
        <w:t>•   We are pleased to announce the introduction of new services to help you and your business with your pension planning requirements; in particular the new legal requirement to provide a pension where you employ others.</w:t>
      </w:r>
    </w:p>
    <w:p w:rsidR="00A83F05" w:rsidRDefault="00722EF6">
      <w:r>
        <w:rPr>
          <w:sz w:val="20"/>
          <w:szCs w:val="20"/>
        </w:rPr>
        <w:t xml:space="preserve"> </w:t>
      </w:r>
    </w:p>
    <w:p w:rsidR="00A83F05" w:rsidRDefault="00722EF6">
      <w:pPr>
        <w:ind w:left="1380" w:right="100"/>
        <w:jc w:val="both"/>
      </w:pPr>
      <w: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A83F05" w:rsidRDefault="00722EF6">
      <w:r>
        <w:rPr>
          <w:sz w:val="20"/>
          <w:szCs w:val="20"/>
        </w:rPr>
        <w:t xml:space="preserve"> </w:t>
      </w:r>
    </w:p>
    <w:p w:rsidR="00A83F05" w:rsidRDefault="00722EF6">
      <w:pPr>
        <w:ind w:left="1380" w:right="100"/>
        <w:jc w:val="both"/>
      </w:pPr>
      <w:r>
        <w:t>Finally, thank you for choosing us to act as th</w:t>
      </w:r>
      <w:r w:rsidRPr="00713A59">
        <w:t xml:space="preserve">e </w:t>
      </w:r>
      <w:r w:rsidR="00713A59" w:rsidRPr="00713A59">
        <w:t>Practitioner</w:t>
      </w:r>
      <w:r w:rsidR="00E03577">
        <w:t xml:space="preserve"> </w:t>
      </w:r>
      <w:r>
        <w:t>for your pension scheme.</w:t>
      </w:r>
    </w:p>
    <w:p w:rsidR="00722EF6" w:rsidRDefault="00722EF6">
      <w:pPr>
        <w:ind w:left="1380" w:right="100"/>
        <w:jc w:val="both"/>
      </w:pPr>
    </w:p>
    <w:p w:rsidR="00722EF6" w:rsidRDefault="00722EF6">
      <w:pPr>
        <w:ind w:left="1380" w:right="100"/>
        <w:jc w:val="both"/>
      </w:pPr>
    </w:p>
    <w:p w:rsidR="00A83F05" w:rsidRDefault="00722EF6">
      <w:r>
        <w:rPr>
          <w:rFonts w:ascii="Calibri" w:eastAsia="Calibri" w:hAnsi="Calibri" w:cs="Calibri"/>
        </w:rPr>
        <w:t xml:space="preserve"> </w:t>
      </w:r>
    </w:p>
    <w:p w:rsidR="00A83F05" w:rsidRDefault="00A83F05">
      <w:pPr>
        <w:ind w:right="1460"/>
        <w:jc w:val="both"/>
      </w:pPr>
    </w:p>
    <w:p w:rsidR="00A83F05" w:rsidRDefault="00722EF6">
      <w:pPr>
        <w:ind w:right="1460"/>
        <w:jc w:val="both"/>
      </w:pPr>
      <w:r>
        <w:rPr>
          <w:b/>
          <w:color w:val="808080"/>
          <w:sz w:val="48"/>
          <w:szCs w:val="48"/>
        </w:rPr>
        <w:lastRenderedPageBreak/>
        <w:t xml:space="preserve">2.  </w:t>
      </w:r>
      <w:r>
        <w:rPr>
          <w:b/>
          <w:color w:val="808080"/>
          <w:sz w:val="48"/>
          <w:szCs w:val="48"/>
        </w:rPr>
        <w:tab/>
      </w:r>
      <w:r>
        <w:rPr>
          <w:b/>
          <w:color w:val="808080"/>
          <w:sz w:val="48"/>
          <w:szCs w:val="48"/>
        </w:rPr>
        <w:tab/>
      </w:r>
      <w:r>
        <w:rPr>
          <w:b/>
          <w:color w:val="1FAFD6"/>
          <w:sz w:val="48"/>
          <w:szCs w:val="48"/>
        </w:rPr>
        <w:t>Pension Scheme Return</w:t>
      </w:r>
    </w:p>
    <w:p w:rsidR="000A1F40" w:rsidRDefault="000A1F40"/>
    <w:p w:rsidR="00F561C0" w:rsidRDefault="00F561C0"/>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713A59" w:rsidRPr="00713A59" w:rsidTr="00713A59">
        <w:trPr>
          <w:tblCellSpacing w:w="15" w:type="dxa"/>
        </w:trPr>
        <w:tc>
          <w:tcPr>
            <w:tcW w:w="2500" w:type="pct"/>
            <w:shd w:val="clear" w:color="auto" w:fill="FFFFFF"/>
            <w:tcMar>
              <w:top w:w="45" w:type="dxa"/>
              <w:left w:w="45" w:type="dxa"/>
              <w:bottom w:w="45" w:type="dxa"/>
              <w:right w:w="45" w:type="dxa"/>
            </w:tcMar>
            <w:vAlign w:val="center"/>
            <w:hideMark/>
          </w:tcPr>
          <w:p w:rsidR="00713A59" w:rsidRPr="00713A59" w:rsidRDefault="00713A59" w:rsidP="00713A59">
            <w:r w:rsidRPr="00713A59">
              <w:t>Pension Scheme Tax Reference</w:t>
            </w:r>
          </w:p>
        </w:tc>
        <w:tc>
          <w:tcPr>
            <w:tcW w:w="250" w:type="pct"/>
            <w:shd w:val="clear" w:color="auto" w:fill="FFFFFF"/>
            <w:tcMar>
              <w:top w:w="45" w:type="dxa"/>
              <w:left w:w="45" w:type="dxa"/>
              <w:bottom w:w="45" w:type="dxa"/>
              <w:right w:w="45" w:type="dxa"/>
            </w:tcMar>
            <w:vAlign w:val="center"/>
            <w:hideMark/>
          </w:tcPr>
          <w:p w:rsidR="00713A59" w:rsidRPr="00713A59" w:rsidRDefault="00713A59" w:rsidP="00713A59"/>
        </w:tc>
        <w:tc>
          <w:tcPr>
            <w:tcW w:w="0" w:type="auto"/>
            <w:shd w:val="clear" w:color="auto" w:fill="FFFFFF"/>
            <w:tcMar>
              <w:top w:w="45" w:type="dxa"/>
              <w:left w:w="45" w:type="dxa"/>
              <w:bottom w:w="45" w:type="dxa"/>
              <w:right w:w="45" w:type="dxa"/>
            </w:tcMar>
            <w:vAlign w:val="center"/>
            <w:hideMark/>
          </w:tcPr>
          <w:p w:rsidR="00713A59" w:rsidRPr="00713A59" w:rsidRDefault="00713A59" w:rsidP="00713A59">
            <w:r w:rsidRPr="00713A59">
              <w:t>00799557RR</w:t>
            </w:r>
          </w:p>
        </w:tc>
      </w:tr>
      <w:tr w:rsidR="00713A59" w:rsidRPr="00713A59" w:rsidTr="00713A59">
        <w:trPr>
          <w:tblCellSpacing w:w="15" w:type="dxa"/>
        </w:trPr>
        <w:tc>
          <w:tcPr>
            <w:tcW w:w="0" w:type="auto"/>
            <w:shd w:val="clear" w:color="auto" w:fill="FFFFFF"/>
            <w:tcMar>
              <w:top w:w="45" w:type="dxa"/>
              <w:left w:w="45" w:type="dxa"/>
              <w:bottom w:w="45" w:type="dxa"/>
              <w:right w:w="45" w:type="dxa"/>
            </w:tcMar>
            <w:hideMark/>
          </w:tcPr>
          <w:p w:rsidR="00713A59" w:rsidRPr="00713A59" w:rsidRDefault="00713A59" w:rsidP="00713A59">
            <w:r w:rsidRPr="00713A59">
              <w:t>Pension Scheme Name</w:t>
            </w:r>
          </w:p>
        </w:tc>
        <w:tc>
          <w:tcPr>
            <w:tcW w:w="0" w:type="auto"/>
            <w:shd w:val="clear" w:color="auto" w:fill="FFFFFF"/>
            <w:tcMar>
              <w:top w:w="45" w:type="dxa"/>
              <w:left w:w="45" w:type="dxa"/>
              <w:bottom w:w="45" w:type="dxa"/>
              <w:right w:w="45" w:type="dxa"/>
            </w:tcMar>
            <w:vAlign w:val="center"/>
            <w:hideMark/>
          </w:tcPr>
          <w:p w:rsidR="00713A59" w:rsidRPr="00713A59" w:rsidRDefault="00713A59" w:rsidP="00713A59"/>
        </w:tc>
        <w:tc>
          <w:tcPr>
            <w:tcW w:w="0" w:type="auto"/>
            <w:shd w:val="clear" w:color="auto" w:fill="FFFFFF"/>
            <w:tcMar>
              <w:top w:w="45" w:type="dxa"/>
              <w:left w:w="45" w:type="dxa"/>
              <w:bottom w:w="45" w:type="dxa"/>
              <w:right w:w="45" w:type="dxa"/>
            </w:tcMar>
            <w:hideMark/>
          </w:tcPr>
          <w:p w:rsidR="00713A59" w:rsidRPr="00713A59" w:rsidRDefault="00713A59" w:rsidP="00713A59">
            <w:r w:rsidRPr="00713A59">
              <w:t>P T Dolan Retirement Benefit Scheme</w:t>
            </w:r>
          </w:p>
        </w:tc>
      </w:tr>
      <w:tr w:rsidR="00713A59" w:rsidRPr="00713A59" w:rsidTr="00713A59">
        <w:trPr>
          <w:tblCellSpacing w:w="15" w:type="dxa"/>
        </w:trPr>
        <w:tc>
          <w:tcPr>
            <w:tcW w:w="0" w:type="auto"/>
            <w:shd w:val="clear" w:color="auto" w:fill="FFFFFF"/>
            <w:tcMar>
              <w:top w:w="45" w:type="dxa"/>
              <w:left w:w="45" w:type="dxa"/>
              <w:bottom w:w="45" w:type="dxa"/>
              <w:right w:w="45" w:type="dxa"/>
            </w:tcMar>
            <w:vAlign w:val="center"/>
            <w:hideMark/>
          </w:tcPr>
          <w:p w:rsidR="00713A59" w:rsidRPr="00713A59" w:rsidRDefault="00713A59" w:rsidP="00713A59">
            <w:r w:rsidRPr="00713A59">
              <w:t>Is the scheme an Occupational scheme?</w:t>
            </w:r>
          </w:p>
        </w:tc>
        <w:tc>
          <w:tcPr>
            <w:tcW w:w="0" w:type="auto"/>
            <w:shd w:val="clear" w:color="auto" w:fill="FFFFFF"/>
            <w:tcMar>
              <w:top w:w="45" w:type="dxa"/>
              <w:left w:w="45" w:type="dxa"/>
              <w:bottom w:w="45" w:type="dxa"/>
              <w:right w:w="45" w:type="dxa"/>
            </w:tcMar>
            <w:vAlign w:val="center"/>
            <w:hideMark/>
          </w:tcPr>
          <w:p w:rsidR="00713A59" w:rsidRPr="00713A59" w:rsidRDefault="00713A59" w:rsidP="00713A59"/>
        </w:tc>
        <w:tc>
          <w:tcPr>
            <w:tcW w:w="0" w:type="auto"/>
            <w:shd w:val="clear" w:color="auto" w:fill="FFFFFF"/>
            <w:tcMar>
              <w:top w:w="45" w:type="dxa"/>
              <w:left w:w="45" w:type="dxa"/>
              <w:bottom w:w="45" w:type="dxa"/>
              <w:right w:w="45" w:type="dxa"/>
            </w:tcMar>
            <w:vAlign w:val="center"/>
            <w:hideMark/>
          </w:tcPr>
          <w:p w:rsidR="00713A59" w:rsidRPr="00713A59" w:rsidRDefault="00713A59" w:rsidP="00713A59">
            <w:r w:rsidRPr="00713A59">
              <w:t>Yes</w:t>
            </w:r>
          </w:p>
        </w:tc>
      </w:tr>
      <w:tr w:rsidR="00713A59" w:rsidRPr="00713A59" w:rsidTr="00713A59">
        <w:trPr>
          <w:tblCellSpacing w:w="15" w:type="dxa"/>
        </w:trPr>
        <w:tc>
          <w:tcPr>
            <w:tcW w:w="0" w:type="auto"/>
            <w:shd w:val="clear" w:color="auto" w:fill="FFFFFF"/>
            <w:tcMar>
              <w:top w:w="45" w:type="dxa"/>
              <w:left w:w="45" w:type="dxa"/>
              <w:bottom w:w="45" w:type="dxa"/>
              <w:right w:w="45" w:type="dxa"/>
            </w:tcMar>
            <w:vAlign w:val="center"/>
            <w:hideMark/>
          </w:tcPr>
          <w:p w:rsidR="00713A59" w:rsidRPr="00713A59" w:rsidRDefault="00713A59" w:rsidP="00713A59">
            <w:r w:rsidRPr="00713A59">
              <w:t>Tax Year ended</w:t>
            </w:r>
          </w:p>
        </w:tc>
        <w:tc>
          <w:tcPr>
            <w:tcW w:w="0" w:type="auto"/>
            <w:shd w:val="clear" w:color="auto" w:fill="FFFFFF"/>
            <w:tcMar>
              <w:top w:w="45" w:type="dxa"/>
              <w:left w:w="45" w:type="dxa"/>
              <w:bottom w:w="45" w:type="dxa"/>
              <w:right w:w="45" w:type="dxa"/>
            </w:tcMar>
            <w:vAlign w:val="center"/>
            <w:hideMark/>
          </w:tcPr>
          <w:p w:rsidR="00713A59" w:rsidRPr="00713A59" w:rsidRDefault="00713A59" w:rsidP="00713A59"/>
        </w:tc>
        <w:tc>
          <w:tcPr>
            <w:tcW w:w="0" w:type="auto"/>
            <w:shd w:val="clear" w:color="auto" w:fill="FFFFFF"/>
            <w:tcMar>
              <w:top w:w="45" w:type="dxa"/>
              <w:left w:w="45" w:type="dxa"/>
              <w:bottom w:w="45" w:type="dxa"/>
              <w:right w:w="45" w:type="dxa"/>
            </w:tcMar>
            <w:vAlign w:val="center"/>
            <w:hideMark/>
          </w:tcPr>
          <w:p w:rsidR="00713A59" w:rsidRPr="00713A59" w:rsidRDefault="00713A59" w:rsidP="00713A59">
            <w:r w:rsidRPr="00713A59">
              <w:t>05 Apr 2017</w:t>
            </w:r>
          </w:p>
        </w:tc>
      </w:tr>
      <w:tr w:rsidR="00713A59" w:rsidRPr="00713A59" w:rsidTr="00713A59">
        <w:trPr>
          <w:tblCellSpacing w:w="15" w:type="dxa"/>
        </w:trPr>
        <w:tc>
          <w:tcPr>
            <w:tcW w:w="0" w:type="auto"/>
            <w:shd w:val="clear" w:color="auto" w:fill="FFFFFF"/>
            <w:tcMar>
              <w:top w:w="45" w:type="dxa"/>
              <w:left w:w="45" w:type="dxa"/>
              <w:bottom w:w="45" w:type="dxa"/>
              <w:right w:w="45" w:type="dxa"/>
            </w:tcMar>
            <w:vAlign w:val="center"/>
            <w:hideMark/>
          </w:tcPr>
          <w:p w:rsidR="00713A59" w:rsidRPr="00713A59" w:rsidRDefault="00713A59" w:rsidP="00713A59">
            <w:r w:rsidRPr="00713A59">
              <w:t>Date submitted</w:t>
            </w:r>
          </w:p>
        </w:tc>
        <w:tc>
          <w:tcPr>
            <w:tcW w:w="0" w:type="auto"/>
            <w:shd w:val="clear" w:color="auto" w:fill="FFFFFF"/>
            <w:tcMar>
              <w:top w:w="45" w:type="dxa"/>
              <w:left w:w="45" w:type="dxa"/>
              <w:bottom w:w="45" w:type="dxa"/>
              <w:right w:w="45" w:type="dxa"/>
            </w:tcMar>
            <w:vAlign w:val="center"/>
            <w:hideMark/>
          </w:tcPr>
          <w:p w:rsidR="00713A59" w:rsidRPr="00713A59" w:rsidRDefault="00713A59" w:rsidP="00713A59"/>
        </w:tc>
        <w:tc>
          <w:tcPr>
            <w:tcW w:w="0" w:type="auto"/>
            <w:shd w:val="clear" w:color="auto" w:fill="FFFFFF"/>
            <w:tcMar>
              <w:top w:w="45" w:type="dxa"/>
              <w:left w:w="45" w:type="dxa"/>
              <w:bottom w:w="45" w:type="dxa"/>
              <w:right w:w="45" w:type="dxa"/>
            </w:tcMar>
            <w:vAlign w:val="center"/>
            <w:hideMark/>
          </w:tcPr>
          <w:p w:rsidR="00713A59" w:rsidRPr="00713A59" w:rsidRDefault="00713A59" w:rsidP="00713A59">
            <w:r w:rsidRPr="00713A59">
              <w:t>08 Jan 2018</w:t>
            </w:r>
          </w:p>
        </w:tc>
      </w:tr>
      <w:tr w:rsidR="00713A59" w:rsidRPr="00713A59" w:rsidTr="00713A59">
        <w:trPr>
          <w:tblCellSpacing w:w="15" w:type="dxa"/>
        </w:trPr>
        <w:tc>
          <w:tcPr>
            <w:tcW w:w="0" w:type="auto"/>
            <w:shd w:val="clear" w:color="auto" w:fill="FFFFFF"/>
            <w:tcMar>
              <w:top w:w="45" w:type="dxa"/>
              <w:left w:w="45" w:type="dxa"/>
              <w:bottom w:w="45" w:type="dxa"/>
              <w:right w:w="45" w:type="dxa"/>
            </w:tcMar>
            <w:vAlign w:val="center"/>
            <w:hideMark/>
          </w:tcPr>
          <w:p w:rsidR="00713A59" w:rsidRPr="00713A59" w:rsidRDefault="00713A59" w:rsidP="00713A59">
            <w:r w:rsidRPr="00713A59">
              <w:t>Submitted by</w:t>
            </w:r>
          </w:p>
        </w:tc>
        <w:tc>
          <w:tcPr>
            <w:tcW w:w="0" w:type="auto"/>
            <w:shd w:val="clear" w:color="auto" w:fill="FFFFFF"/>
            <w:tcMar>
              <w:top w:w="45" w:type="dxa"/>
              <w:left w:w="45" w:type="dxa"/>
              <w:bottom w:w="45" w:type="dxa"/>
              <w:right w:w="45" w:type="dxa"/>
            </w:tcMar>
            <w:vAlign w:val="center"/>
            <w:hideMark/>
          </w:tcPr>
          <w:p w:rsidR="00713A59" w:rsidRPr="00713A59" w:rsidRDefault="00713A59" w:rsidP="00713A59"/>
        </w:tc>
        <w:tc>
          <w:tcPr>
            <w:tcW w:w="0" w:type="auto"/>
            <w:shd w:val="clear" w:color="auto" w:fill="FFFFFF"/>
            <w:tcMar>
              <w:top w:w="45" w:type="dxa"/>
              <w:left w:w="45" w:type="dxa"/>
              <w:bottom w:w="45" w:type="dxa"/>
              <w:right w:w="45" w:type="dxa"/>
            </w:tcMar>
            <w:vAlign w:val="center"/>
            <w:hideMark/>
          </w:tcPr>
          <w:p w:rsidR="00713A59" w:rsidRPr="00713A59" w:rsidRDefault="00713A59" w:rsidP="00713A59">
            <w:r w:rsidRPr="00713A59">
              <w:t>The Practitioners Partnership LP</w:t>
            </w:r>
          </w:p>
        </w:tc>
      </w:tr>
      <w:tr w:rsidR="00713A59" w:rsidRPr="00713A59" w:rsidTr="00713A59">
        <w:trPr>
          <w:tblCellSpacing w:w="15" w:type="dxa"/>
        </w:trPr>
        <w:tc>
          <w:tcPr>
            <w:tcW w:w="0" w:type="auto"/>
            <w:shd w:val="clear" w:color="auto" w:fill="FFFFFF"/>
            <w:tcMar>
              <w:top w:w="45" w:type="dxa"/>
              <w:left w:w="45" w:type="dxa"/>
              <w:bottom w:w="45" w:type="dxa"/>
              <w:right w:w="45" w:type="dxa"/>
            </w:tcMar>
            <w:vAlign w:val="center"/>
            <w:hideMark/>
          </w:tcPr>
          <w:p w:rsidR="00713A59" w:rsidRPr="00713A59" w:rsidRDefault="00713A59" w:rsidP="00713A59">
            <w:r w:rsidRPr="00713A59">
              <w:t>Scheme Administrator</w:t>
            </w:r>
          </w:p>
        </w:tc>
        <w:tc>
          <w:tcPr>
            <w:tcW w:w="0" w:type="auto"/>
            <w:shd w:val="clear" w:color="auto" w:fill="FFFFFF"/>
            <w:tcMar>
              <w:top w:w="45" w:type="dxa"/>
              <w:left w:w="45" w:type="dxa"/>
              <w:bottom w:w="45" w:type="dxa"/>
              <w:right w:w="45" w:type="dxa"/>
            </w:tcMar>
            <w:vAlign w:val="center"/>
            <w:hideMark/>
          </w:tcPr>
          <w:p w:rsidR="00713A59" w:rsidRPr="00713A59" w:rsidRDefault="00713A59" w:rsidP="00713A59"/>
        </w:tc>
        <w:tc>
          <w:tcPr>
            <w:tcW w:w="0" w:type="auto"/>
            <w:shd w:val="clear" w:color="auto" w:fill="FFFFFF"/>
            <w:tcMar>
              <w:top w:w="45" w:type="dxa"/>
              <w:left w:w="45" w:type="dxa"/>
              <w:bottom w:w="45" w:type="dxa"/>
              <w:right w:w="45" w:type="dxa"/>
            </w:tcMar>
            <w:vAlign w:val="center"/>
            <w:hideMark/>
          </w:tcPr>
          <w:p w:rsidR="00713A59" w:rsidRPr="00713A59" w:rsidRDefault="00713A59" w:rsidP="00713A59">
            <w:proofErr w:type="spellStart"/>
            <w:r w:rsidRPr="00713A59">
              <w:t>Greenchase</w:t>
            </w:r>
            <w:proofErr w:type="spellEnd"/>
            <w:r w:rsidRPr="00713A59">
              <w:t xml:space="preserve"> Limited</w:t>
            </w:r>
          </w:p>
        </w:tc>
      </w:tr>
    </w:tbl>
    <w:p w:rsidR="00713A59" w:rsidRPr="00713A59" w:rsidRDefault="00713A59" w:rsidP="00713A59"/>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713A59" w:rsidRPr="00713A59" w:rsidTr="00713A59">
        <w:trPr>
          <w:tblCellSpacing w:w="15" w:type="dxa"/>
        </w:trPr>
        <w:tc>
          <w:tcPr>
            <w:tcW w:w="2500" w:type="pct"/>
            <w:shd w:val="clear" w:color="auto" w:fill="FFFFFF"/>
            <w:tcMar>
              <w:top w:w="45" w:type="dxa"/>
              <w:left w:w="45" w:type="dxa"/>
              <w:bottom w:w="45" w:type="dxa"/>
              <w:right w:w="45" w:type="dxa"/>
            </w:tcMar>
            <w:vAlign w:val="center"/>
            <w:hideMark/>
          </w:tcPr>
          <w:p w:rsidR="00713A59" w:rsidRPr="00713A59" w:rsidRDefault="00713A59" w:rsidP="00713A59">
            <w:r w:rsidRPr="00713A59">
              <w:t>Amended Return</w:t>
            </w:r>
          </w:p>
        </w:tc>
        <w:tc>
          <w:tcPr>
            <w:tcW w:w="250" w:type="pct"/>
            <w:shd w:val="clear" w:color="auto" w:fill="FFFFFF"/>
            <w:tcMar>
              <w:top w:w="45" w:type="dxa"/>
              <w:left w:w="45" w:type="dxa"/>
              <w:bottom w:w="45" w:type="dxa"/>
              <w:right w:w="45" w:type="dxa"/>
            </w:tcMar>
            <w:vAlign w:val="center"/>
            <w:hideMark/>
          </w:tcPr>
          <w:p w:rsidR="00713A59" w:rsidRPr="00713A59" w:rsidRDefault="00713A59" w:rsidP="00713A59"/>
        </w:tc>
        <w:tc>
          <w:tcPr>
            <w:tcW w:w="0" w:type="auto"/>
            <w:shd w:val="clear" w:color="auto" w:fill="FFFFFF"/>
            <w:tcMar>
              <w:top w:w="45" w:type="dxa"/>
              <w:left w:w="45" w:type="dxa"/>
              <w:bottom w:w="45" w:type="dxa"/>
              <w:right w:w="45" w:type="dxa"/>
            </w:tcMar>
            <w:vAlign w:val="center"/>
            <w:hideMark/>
          </w:tcPr>
          <w:p w:rsidR="00713A59" w:rsidRPr="00713A59" w:rsidRDefault="00713A59" w:rsidP="00713A59">
            <w:r w:rsidRPr="00713A59">
              <w:t>No</w:t>
            </w:r>
          </w:p>
        </w:tc>
      </w:tr>
    </w:tbl>
    <w:p w:rsidR="00713A59" w:rsidRPr="00713A59" w:rsidRDefault="00713A59" w:rsidP="00713A59">
      <w:pPr>
        <w:rPr>
          <w:vanish/>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713A59" w:rsidRPr="00713A59" w:rsidTr="00713A59">
        <w:trPr>
          <w:tblCellSpacing w:w="15" w:type="dxa"/>
        </w:trPr>
        <w:tc>
          <w:tcPr>
            <w:tcW w:w="2500" w:type="pct"/>
            <w:shd w:val="clear" w:color="auto" w:fill="FFFFFF"/>
            <w:tcMar>
              <w:top w:w="45" w:type="dxa"/>
              <w:left w:w="45" w:type="dxa"/>
              <w:bottom w:w="45" w:type="dxa"/>
              <w:right w:w="45" w:type="dxa"/>
            </w:tcMar>
            <w:vAlign w:val="center"/>
            <w:hideMark/>
          </w:tcPr>
          <w:p w:rsidR="00713A59" w:rsidRPr="00713A59" w:rsidRDefault="00713A59" w:rsidP="00713A59">
            <w:r w:rsidRPr="00713A59">
              <w:t>Accounting Period</w:t>
            </w:r>
          </w:p>
        </w:tc>
        <w:tc>
          <w:tcPr>
            <w:tcW w:w="250" w:type="pct"/>
            <w:shd w:val="clear" w:color="auto" w:fill="FFFFFF"/>
            <w:tcMar>
              <w:top w:w="45" w:type="dxa"/>
              <w:left w:w="45" w:type="dxa"/>
              <w:bottom w:w="45" w:type="dxa"/>
              <w:right w:w="45" w:type="dxa"/>
            </w:tcMar>
            <w:vAlign w:val="center"/>
            <w:hideMark/>
          </w:tcPr>
          <w:p w:rsidR="00713A59" w:rsidRPr="00713A59" w:rsidRDefault="00713A59" w:rsidP="00713A59"/>
        </w:tc>
        <w:tc>
          <w:tcPr>
            <w:tcW w:w="0" w:type="auto"/>
            <w:shd w:val="clear" w:color="auto" w:fill="FFFFFF"/>
            <w:tcMar>
              <w:top w:w="45" w:type="dxa"/>
              <w:left w:w="45" w:type="dxa"/>
              <w:bottom w:w="45" w:type="dxa"/>
              <w:right w:w="45" w:type="dxa"/>
            </w:tcMar>
            <w:vAlign w:val="center"/>
            <w:hideMark/>
          </w:tcPr>
          <w:p w:rsidR="00713A59" w:rsidRPr="00713A59" w:rsidRDefault="00713A59" w:rsidP="00713A59">
            <w:r w:rsidRPr="00713A59">
              <w:t>06 Apr 2016 - 05 Apr 2017</w:t>
            </w:r>
          </w:p>
        </w:tc>
      </w:tr>
    </w:tbl>
    <w:p w:rsidR="00713A59" w:rsidRPr="00713A59" w:rsidRDefault="00713A59" w:rsidP="00713A59"/>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713A59" w:rsidRPr="00713A59" w:rsidTr="00713A59">
        <w:trPr>
          <w:tblCellSpacing w:w="15" w:type="dxa"/>
        </w:trPr>
        <w:tc>
          <w:tcPr>
            <w:tcW w:w="2500" w:type="pct"/>
            <w:shd w:val="clear" w:color="auto" w:fill="FFFFFF"/>
            <w:tcMar>
              <w:top w:w="45" w:type="dxa"/>
              <w:left w:w="45" w:type="dxa"/>
              <w:bottom w:w="45" w:type="dxa"/>
              <w:right w:w="45" w:type="dxa"/>
            </w:tcMar>
            <w:hideMark/>
          </w:tcPr>
          <w:p w:rsidR="00713A59" w:rsidRPr="00713A59" w:rsidRDefault="00713A59" w:rsidP="00713A59">
            <w:r w:rsidRPr="00713A59">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rsidR="00713A59" w:rsidRPr="00713A59" w:rsidRDefault="00713A59" w:rsidP="00713A59"/>
        </w:tc>
        <w:tc>
          <w:tcPr>
            <w:tcW w:w="0" w:type="auto"/>
            <w:shd w:val="clear" w:color="auto" w:fill="FFFFFF"/>
            <w:tcMar>
              <w:top w:w="45" w:type="dxa"/>
              <w:left w:w="45" w:type="dxa"/>
              <w:bottom w:w="45" w:type="dxa"/>
              <w:right w:w="45" w:type="dxa"/>
            </w:tcMar>
            <w:hideMark/>
          </w:tcPr>
          <w:p w:rsidR="00713A59" w:rsidRPr="00713A59" w:rsidRDefault="00713A59" w:rsidP="00713A59">
            <w:r w:rsidRPr="00713A59">
              <w:t>No</w:t>
            </w:r>
          </w:p>
        </w:tc>
      </w:tr>
      <w:tr w:rsidR="00713A59" w:rsidRPr="00713A59" w:rsidTr="00713A59">
        <w:trPr>
          <w:tblCellSpacing w:w="15" w:type="dxa"/>
        </w:trPr>
        <w:tc>
          <w:tcPr>
            <w:tcW w:w="2500" w:type="pct"/>
            <w:shd w:val="clear" w:color="auto" w:fill="FFFFFF"/>
            <w:tcMar>
              <w:top w:w="45" w:type="dxa"/>
              <w:left w:w="45" w:type="dxa"/>
              <w:bottom w:w="45" w:type="dxa"/>
              <w:right w:w="45" w:type="dxa"/>
            </w:tcMar>
            <w:vAlign w:val="center"/>
            <w:hideMark/>
          </w:tcPr>
          <w:p w:rsidR="00713A59" w:rsidRPr="00713A59" w:rsidRDefault="00713A59" w:rsidP="00713A59">
            <w:r w:rsidRPr="00713A59">
              <w:t>Specify the aggregate of payments to and from the scheme</w:t>
            </w:r>
          </w:p>
        </w:tc>
        <w:tc>
          <w:tcPr>
            <w:tcW w:w="0" w:type="auto"/>
            <w:shd w:val="clear" w:color="auto" w:fill="FFFFFF"/>
            <w:tcMar>
              <w:top w:w="45" w:type="dxa"/>
              <w:left w:w="45" w:type="dxa"/>
              <w:bottom w:w="45" w:type="dxa"/>
              <w:right w:w="45" w:type="dxa"/>
            </w:tcMar>
            <w:vAlign w:val="center"/>
            <w:hideMark/>
          </w:tcPr>
          <w:p w:rsidR="00713A59" w:rsidRPr="00713A59" w:rsidRDefault="00713A59" w:rsidP="00713A59"/>
        </w:tc>
        <w:tc>
          <w:tcPr>
            <w:tcW w:w="0" w:type="auto"/>
            <w:shd w:val="clear" w:color="auto" w:fill="FFFFFF"/>
            <w:tcMar>
              <w:top w:w="45" w:type="dxa"/>
              <w:left w:w="45" w:type="dxa"/>
              <w:bottom w:w="45" w:type="dxa"/>
              <w:right w:w="45" w:type="dxa"/>
            </w:tcMar>
            <w:vAlign w:val="center"/>
            <w:hideMark/>
          </w:tcPr>
          <w:p w:rsidR="00713A59" w:rsidRPr="00713A59" w:rsidRDefault="00713A59" w:rsidP="00713A59">
            <w:r w:rsidRPr="00713A59">
              <w:t>£41638</w:t>
            </w:r>
          </w:p>
        </w:tc>
      </w:tr>
    </w:tbl>
    <w:p w:rsidR="00713A59" w:rsidRPr="00713A59" w:rsidRDefault="00713A59" w:rsidP="00713A59">
      <w:pPr>
        <w:rPr>
          <w:vanish/>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713A59" w:rsidRPr="00713A59" w:rsidTr="00713A59">
        <w:trPr>
          <w:tblCellSpacing w:w="15" w:type="dxa"/>
        </w:trPr>
        <w:tc>
          <w:tcPr>
            <w:tcW w:w="2500" w:type="pct"/>
            <w:shd w:val="clear" w:color="auto" w:fill="FFFFFF"/>
            <w:tcMar>
              <w:top w:w="45" w:type="dxa"/>
              <w:left w:w="45" w:type="dxa"/>
              <w:bottom w:w="45" w:type="dxa"/>
              <w:right w:w="45" w:type="dxa"/>
            </w:tcMar>
            <w:hideMark/>
          </w:tcPr>
          <w:p w:rsidR="00713A59" w:rsidRPr="00713A59" w:rsidRDefault="00713A59" w:rsidP="00713A59">
            <w:r w:rsidRPr="00713A59">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rsidR="00713A59" w:rsidRPr="00713A59" w:rsidRDefault="00713A59" w:rsidP="00713A59"/>
        </w:tc>
        <w:tc>
          <w:tcPr>
            <w:tcW w:w="0" w:type="auto"/>
            <w:shd w:val="clear" w:color="auto" w:fill="FFFFFF"/>
            <w:tcMar>
              <w:top w:w="45" w:type="dxa"/>
              <w:left w:w="45" w:type="dxa"/>
              <w:bottom w:w="45" w:type="dxa"/>
              <w:right w:w="45" w:type="dxa"/>
            </w:tcMar>
            <w:hideMark/>
          </w:tcPr>
          <w:p w:rsidR="00713A59" w:rsidRPr="00713A59" w:rsidRDefault="00713A59" w:rsidP="00713A59">
            <w:r w:rsidRPr="00713A59">
              <w:t>Yes</w:t>
            </w:r>
          </w:p>
        </w:tc>
      </w:tr>
    </w:tbl>
    <w:p w:rsidR="00713A59" w:rsidRPr="00713A59" w:rsidRDefault="00713A59" w:rsidP="00713A59"/>
    <w:p w:rsidR="00713A59" w:rsidRPr="00713A59" w:rsidRDefault="00713A59" w:rsidP="00713A59">
      <w:pPr>
        <w:rPr>
          <w:b/>
          <w:bCs/>
        </w:rPr>
      </w:pPr>
      <w:r w:rsidRPr="00713A59">
        <w:rPr>
          <w:b/>
          <w:bCs/>
        </w:rPr>
        <w:t>Connected Parties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713A59" w:rsidRPr="00713A59" w:rsidTr="00713A59">
        <w:trPr>
          <w:tblCellSpacing w:w="15" w:type="dxa"/>
        </w:trPr>
        <w:tc>
          <w:tcPr>
            <w:tcW w:w="2500" w:type="pct"/>
            <w:shd w:val="clear" w:color="auto" w:fill="FFFFFF"/>
            <w:tcMar>
              <w:top w:w="45" w:type="dxa"/>
              <w:left w:w="45" w:type="dxa"/>
              <w:bottom w:w="45" w:type="dxa"/>
              <w:right w:w="45" w:type="dxa"/>
            </w:tcMar>
            <w:vAlign w:val="center"/>
            <w:hideMark/>
          </w:tcPr>
          <w:p w:rsidR="00713A59" w:rsidRPr="00713A59" w:rsidRDefault="00713A59" w:rsidP="00713A59">
            <w:r w:rsidRPr="00713A59">
              <w:t>At any time during the period from 06/04/2016 to 05/04/2017 did the scheme either directly or indirectly own assets that it had acquired from either:</w:t>
            </w:r>
            <w:r w:rsidRPr="00713A59">
              <w:br/>
              <w:t>a. a sponsoring employer or any person connected with that employer?</w:t>
            </w:r>
            <w:r w:rsidRPr="00713A59">
              <w:br/>
            </w:r>
            <w:proofErr w:type="gramStart"/>
            <w:r w:rsidRPr="00713A59">
              <w:rPr>
                <w:i/>
                <w:iCs/>
              </w:rPr>
              <w:t>or</w:t>
            </w:r>
            <w:proofErr w:type="gramEnd"/>
            <w:r w:rsidRPr="00713A59">
              <w:br/>
              <w:t>b. a person who was a director of or a person connected to a director of a close company that was also a sponsoring employer?</w:t>
            </w:r>
            <w:r w:rsidRPr="00713A59">
              <w:br/>
            </w:r>
            <w:proofErr w:type="gramStart"/>
            <w:r w:rsidRPr="00713A59">
              <w:rPr>
                <w:i/>
                <w:iCs/>
              </w:rPr>
              <w:t>or</w:t>
            </w:r>
            <w:proofErr w:type="gramEnd"/>
            <w:r w:rsidRPr="00713A59">
              <w:br/>
              <w:t>c. a person who was either a sole owner or partner or a person connected with the sole owner or partner of a business which was a sponsoring employer?</w:t>
            </w:r>
            <w:r w:rsidRPr="00713A59">
              <w:br/>
            </w:r>
            <w:proofErr w:type="gramStart"/>
            <w:r w:rsidRPr="00713A59">
              <w:rPr>
                <w:i/>
                <w:iCs/>
              </w:rPr>
              <w:t>or</w:t>
            </w:r>
            <w:proofErr w:type="gramEnd"/>
            <w:r w:rsidRPr="00713A59">
              <w:br/>
              <w:t>d. a member or person connected with a member?</w:t>
            </w:r>
          </w:p>
        </w:tc>
        <w:tc>
          <w:tcPr>
            <w:tcW w:w="250" w:type="pct"/>
            <w:shd w:val="clear" w:color="auto" w:fill="FFFFFF"/>
            <w:tcMar>
              <w:top w:w="45" w:type="dxa"/>
              <w:left w:w="45" w:type="dxa"/>
              <w:bottom w:w="45" w:type="dxa"/>
              <w:right w:w="45" w:type="dxa"/>
            </w:tcMar>
            <w:hideMark/>
          </w:tcPr>
          <w:p w:rsidR="00713A59" w:rsidRPr="00713A59" w:rsidRDefault="00713A59" w:rsidP="00713A59"/>
        </w:tc>
        <w:tc>
          <w:tcPr>
            <w:tcW w:w="0" w:type="auto"/>
            <w:shd w:val="clear" w:color="auto" w:fill="FFFFFF"/>
            <w:tcMar>
              <w:top w:w="45" w:type="dxa"/>
              <w:left w:w="45" w:type="dxa"/>
              <w:bottom w:w="45" w:type="dxa"/>
              <w:right w:w="45" w:type="dxa"/>
            </w:tcMar>
            <w:hideMark/>
          </w:tcPr>
          <w:p w:rsidR="00713A59" w:rsidRPr="00713A59" w:rsidRDefault="00713A59" w:rsidP="00713A59">
            <w:r w:rsidRPr="00713A59">
              <w:t>No</w:t>
            </w:r>
          </w:p>
        </w:tc>
      </w:tr>
    </w:tbl>
    <w:p w:rsidR="00713A59" w:rsidRPr="00713A59" w:rsidRDefault="00713A59" w:rsidP="00713A59"/>
    <w:p w:rsidR="00713A59" w:rsidRDefault="00713A59" w:rsidP="00713A59">
      <w:pPr>
        <w:rPr>
          <w:b/>
          <w:bCs/>
        </w:rPr>
      </w:pPr>
    </w:p>
    <w:p w:rsidR="00713A59" w:rsidRDefault="00713A59" w:rsidP="00713A59">
      <w:pPr>
        <w:rPr>
          <w:b/>
          <w:bCs/>
        </w:rPr>
      </w:pPr>
    </w:p>
    <w:p w:rsidR="00713A59" w:rsidRDefault="00713A59" w:rsidP="00713A59">
      <w:pPr>
        <w:rPr>
          <w:b/>
          <w:bCs/>
        </w:rPr>
      </w:pPr>
    </w:p>
    <w:p w:rsidR="00713A59" w:rsidRPr="00713A59" w:rsidRDefault="00713A59" w:rsidP="00713A59">
      <w:pPr>
        <w:rPr>
          <w:b/>
          <w:bCs/>
        </w:rPr>
      </w:pPr>
      <w:r w:rsidRPr="00713A59">
        <w:rPr>
          <w:b/>
          <w:bCs/>
        </w:rPr>
        <w:t>Cash and Bank Information</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713A59" w:rsidRPr="00713A59" w:rsidTr="00713A59">
        <w:trPr>
          <w:tblCellSpacing w:w="15" w:type="dxa"/>
        </w:trPr>
        <w:tc>
          <w:tcPr>
            <w:tcW w:w="2500" w:type="pct"/>
            <w:shd w:val="clear" w:color="auto" w:fill="FFFFFF"/>
            <w:tcMar>
              <w:top w:w="45" w:type="dxa"/>
              <w:left w:w="45" w:type="dxa"/>
              <w:bottom w:w="45" w:type="dxa"/>
              <w:right w:w="45" w:type="dxa"/>
            </w:tcMar>
            <w:vAlign w:val="center"/>
            <w:hideMark/>
          </w:tcPr>
          <w:p w:rsidR="00713A59" w:rsidRPr="00713A59" w:rsidRDefault="00713A59" w:rsidP="00713A59">
            <w:r w:rsidRPr="00713A59">
              <w:t>Total amount of all cash and bank balances at the beginning of the period</w:t>
            </w:r>
          </w:p>
        </w:tc>
        <w:tc>
          <w:tcPr>
            <w:tcW w:w="250" w:type="pct"/>
            <w:shd w:val="clear" w:color="auto" w:fill="FFFFFF"/>
            <w:tcMar>
              <w:top w:w="45" w:type="dxa"/>
              <w:left w:w="45" w:type="dxa"/>
              <w:bottom w:w="45" w:type="dxa"/>
              <w:right w:w="45" w:type="dxa"/>
            </w:tcMar>
            <w:vAlign w:val="center"/>
            <w:hideMark/>
          </w:tcPr>
          <w:p w:rsidR="00713A59" w:rsidRPr="00713A59" w:rsidRDefault="00713A59" w:rsidP="00713A59"/>
        </w:tc>
        <w:tc>
          <w:tcPr>
            <w:tcW w:w="0" w:type="auto"/>
            <w:shd w:val="clear" w:color="auto" w:fill="FFFFFF"/>
            <w:tcMar>
              <w:top w:w="45" w:type="dxa"/>
              <w:left w:w="45" w:type="dxa"/>
              <w:bottom w:w="45" w:type="dxa"/>
              <w:right w:w="45" w:type="dxa"/>
            </w:tcMar>
            <w:vAlign w:val="center"/>
            <w:hideMark/>
          </w:tcPr>
          <w:p w:rsidR="00713A59" w:rsidRPr="00713A59" w:rsidRDefault="00713A59" w:rsidP="00713A59">
            <w:r w:rsidRPr="00713A59">
              <w:t>£41139</w:t>
            </w:r>
          </w:p>
        </w:tc>
      </w:tr>
      <w:tr w:rsidR="00713A59" w:rsidRPr="00713A59" w:rsidTr="00713A59">
        <w:trPr>
          <w:tblCellSpacing w:w="15" w:type="dxa"/>
        </w:trPr>
        <w:tc>
          <w:tcPr>
            <w:tcW w:w="2500" w:type="pct"/>
            <w:shd w:val="clear" w:color="auto" w:fill="FFFFFF"/>
            <w:tcMar>
              <w:top w:w="45" w:type="dxa"/>
              <w:left w:w="45" w:type="dxa"/>
              <w:bottom w:w="45" w:type="dxa"/>
              <w:right w:w="45" w:type="dxa"/>
            </w:tcMar>
            <w:vAlign w:val="center"/>
            <w:hideMark/>
          </w:tcPr>
          <w:p w:rsidR="00713A59" w:rsidRPr="00713A59" w:rsidRDefault="00713A59" w:rsidP="00713A59">
            <w:r w:rsidRPr="00713A59">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rsidR="00713A59" w:rsidRPr="00713A59" w:rsidRDefault="00713A59" w:rsidP="00713A59"/>
        </w:tc>
        <w:tc>
          <w:tcPr>
            <w:tcW w:w="0" w:type="auto"/>
            <w:shd w:val="clear" w:color="auto" w:fill="FFFFFF"/>
            <w:tcMar>
              <w:top w:w="45" w:type="dxa"/>
              <w:left w:w="45" w:type="dxa"/>
              <w:bottom w:w="45" w:type="dxa"/>
              <w:right w:w="45" w:type="dxa"/>
            </w:tcMar>
            <w:vAlign w:val="center"/>
            <w:hideMark/>
          </w:tcPr>
          <w:p w:rsidR="00713A59" w:rsidRPr="00713A59" w:rsidRDefault="00713A59" w:rsidP="00713A59">
            <w:r w:rsidRPr="00713A59">
              <w:t>£52758</w:t>
            </w:r>
          </w:p>
        </w:tc>
      </w:tr>
      <w:tr w:rsidR="00713A59" w:rsidRPr="00713A59" w:rsidTr="00713A59">
        <w:trPr>
          <w:tblCellSpacing w:w="15" w:type="dxa"/>
        </w:trPr>
        <w:tc>
          <w:tcPr>
            <w:tcW w:w="0" w:type="auto"/>
            <w:shd w:val="clear" w:color="auto" w:fill="FFFFFF"/>
            <w:tcMar>
              <w:top w:w="45" w:type="dxa"/>
              <w:left w:w="45" w:type="dxa"/>
              <w:bottom w:w="45" w:type="dxa"/>
              <w:right w:w="45" w:type="dxa"/>
            </w:tcMar>
            <w:vAlign w:val="center"/>
            <w:hideMark/>
          </w:tcPr>
          <w:p w:rsidR="00713A59" w:rsidRPr="00713A59" w:rsidRDefault="00713A59" w:rsidP="00713A59">
            <w:r w:rsidRPr="00713A59">
              <w:t>Total amount of interest credited to these accounts</w:t>
            </w:r>
          </w:p>
        </w:tc>
        <w:tc>
          <w:tcPr>
            <w:tcW w:w="0" w:type="auto"/>
            <w:shd w:val="clear" w:color="auto" w:fill="FFFFFF"/>
            <w:tcMar>
              <w:top w:w="45" w:type="dxa"/>
              <w:left w:w="45" w:type="dxa"/>
              <w:bottom w:w="45" w:type="dxa"/>
              <w:right w:w="45" w:type="dxa"/>
            </w:tcMar>
            <w:vAlign w:val="center"/>
            <w:hideMark/>
          </w:tcPr>
          <w:p w:rsidR="00713A59" w:rsidRPr="00713A59" w:rsidRDefault="00713A59" w:rsidP="00713A59"/>
        </w:tc>
        <w:tc>
          <w:tcPr>
            <w:tcW w:w="0" w:type="auto"/>
            <w:shd w:val="clear" w:color="auto" w:fill="FFFFFF"/>
            <w:tcMar>
              <w:top w:w="45" w:type="dxa"/>
              <w:left w:w="45" w:type="dxa"/>
              <w:bottom w:w="45" w:type="dxa"/>
              <w:right w:w="45" w:type="dxa"/>
            </w:tcMar>
            <w:vAlign w:val="center"/>
            <w:hideMark/>
          </w:tcPr>
          <w:p w:rsidR="00713A59" w:rsidRPr="00713A59" w:rsidRDefault="00713A59" w:rsidP="00713A59">
            <w:r w:rsidRPr="00713A59">
              <w:t>£105</w:t>
            </w:r>
          </w:p>
        </w:tc>
      </w:tr>
    </w:tbl>
    <w:p w:rsidR="00713A59" w:rsidRPr="00713A59" w:rsidRDefault="00713A59" w:rsidP="00713A59"/>
    <w:p w:rsidR="00713A59" w:rsidRPr="00713A59" w:rsidRDefault="00713A59" w:rsidP="00713A59">
      <w:pPr>
        <w:rPr>
          <w:b/>
          <w:bCs/>
        </w:rPr>
      </w:pPr>
      <w:proofErr w:type="spellStart"/>
      <w:r w:rsidRPr="00713A59">
        <w:rPr>
          <w:b/>
          <w:bCs/>
        </w:rPr>
        <w:t>Arms Length</w:t>
      </w:r>
      <w:proofErr w:type="spellEnd"/>
      <w:r w:rsidRPr="00713A59">
        <w:rPr>
          <w:b/>
          <w:bCs/>
        </w:rPr>
        <w:t xml:space="preserve"> Transactions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713A59" w:rsidRPr="00713A59" w:rsidTr="00713A59">
        <w:trPr>
          <w:tblCellSpacing w:w="15" w:type="dxa"/>
        </w:trPr>
        <w:tc>
          <w:tcPr>
            <w:tcW w:w="2500" w:type="pct"/>
            <w:shd w:val="clear" w:color="auto" w:fill="FFFFFF"/>
            <w:tcMar>
              <w:top w:w="45" w:type="dxa"/>
              <w:left w:w="45" w:type="dxa"/>
              <w:bottom w:w="45" w:type="dxa"/>
              <w:right w:w="45" w:type="dxa"/>
            </w:tcMar>
            <w:vAlign w:val="center"/>
            <w:hideMark/>
          </w:tcPr>
          <w:p w:rsidR="00713A59" w:rsidRPr="00713A59" w:rsidRDefault="00713A59" w:rsidP="00713A59">
            <w:r w:rsidRPr="00713A59">
              <w:t>Total cost or market value of any assets owned at the end of the period</w:t>
            </w:r>
            <w:r w:rsidRPr="00713A59">
              <w:br/>
              <w:t>Specify whether this amount is</w:t>
            </w:r>
          </w:p>
        </w:tc>
        <w:tc>
          <w:tcPr>
            <w:tcW w:w="250" w:type="pct"/>
            <w:shd w:val="clear" w:color="auto" w:fill="FFFFFF"/>
            <w:tcMar>
              <w:top w:w="45" w:type="dxa"/>
              <w:left w:w="45" w:type="dxa"/>
              <w:bottom w:w="45" w:type="dxa"/>
              <w:right w:w="45" w:type="dxa"/>
            </w:tcMar>
            <w:vAlign w:val="center"/>
            <w:hideMark/>
          </w:tcPr>
          <w:p w:rsidR="00713A59" w:rsidRPr="00713A59" w:rsidRDefault="00713A59" w:rsidP="00713A59"/>
        </w:tc>
        <w:tc>
          <w:tcPr>
            <w:tcW w:w="0" w:type="auto"/>
            <w:shd w:val="clear" w:color="auto" w:fill="FFFFFF"/>
            <w:tcMar>
              <w:top w:w="45" w:type="dxa"/>
              <w:left w:w="45" w:type="dxa"/>
              <w:bottom w:w="45" w:type="dxa"/>
              <w:right w:w="45" w:type="dxa"/>
            </w:tcMar>
            <w:vAlign w:val="center"/>
            <w:hideMark/>
          </w:tcPr>
          <w:p w:rsidR="00713A59" w:rsidRPr="00713A59" w:rsidRDefault="00713A59" w:rsidP="00713A59">
            <w:r w:rsidRPr="00713A59">
              <w:t>£1058392</w:t>
            </w:r>
            <w:r w:rsidRPr="00713A59">
              <w:br/>
            </w:r>
            <w:r w:rsidRPr="00713A59">
              <w:br/>
              <w:t>Market value</w:t>
            </w:r>
          </w:p>
        </w:tc>
      </w:tr>
    </w:tbl>
    <w:p w:rsidR="00713A59" w:rsidRPr="00713A59" w:rsidRDefault="00713A59" w:rsidP="00713A59">
      <w:pPr>
        <w:rPr>
          <w:vanish/>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713A59" w:rsidRPr="00713A59" w:rsidTr="00713A59">
        <w:trPr>
          <w:tblCellSpacing w:w="15" w:type="dxa"/>
        </w:trPr>
        <w:tc>
          <w:tcPr>
            <w:tcW w:w="2500" w:type="pct"/>
            <w:shd w:val="clear" w:color="auto" w:fill="FFFFFF"/>
            <w:tcMar>
              <w:top w:w="45" w:type="dxa"/>
              <w:left w:w="45" w:type="dxa"/>
              <w:bottom w:w="45" w:type="dxa"/>
              <w:right w:w="45" w:type="dxa"/>
            </w:tcMar>
            <w:hideMark/>
          </w:tcPr>
          <w:p w:rsidR="00713A59" w:rsidRPr="00713A59" w:rsidRDefault="00713A59" w:rsidP="00713A59">
            <w:r w:rsidRPr="00713A59">
              <w:t>Nature of asset(s) acquired</w:t>
            </w:r>
          </w:p>
        </w:tc>
        <w:tc>
          <w:tcPr>
            <w:tcW w:w="250" w:type="pct"/>
            <w:shd w:val="clear" w:color="auto" w:fill="FFFFFF"/>
            <w:tcMar>
              <w:top w:w="45" w:type="dxa"/>
              <w:left w:w="45" w:type="dxa"/>
              <w:bottom w:w="45" w:type="dxa"/>
              <w:right w:w="45" w:type="dxa"/>
            </w:tcMar>
            <w:vAlign w:val="center"/>
            <w:hideMark/>
          </w:tcPr>
          <w:p w:rsidR="00713A59" w:rsidRPr="00713A59" w:rsidRDefault="00713A59" w:rsidP="00713A59"/>
        </w:tc>
        <w:tc>
          <w:tcPr>
            <w:tcW w:w="0" w:type="auto"/>
            <w:shd w:val="clear" w:color="auto" w:fill="FFFFFF"/>
            <w:tcMar>
              <w:top w:w="45" w:type="dxa"/>
              <w:left w:w="45" w:type="dxa"/>
              <w:bottom w:w="45" w:type="dxa"/>
              <w:right w:w="45" w:type="dxa"/>
            </w:tcMar>
            <w:vAlign w:val="center"/>
            <w:hideMark/>
          </w:tcPr>
          <w:p w:rsidR="00713A59" w:rsidRPr="00713A59" w:rsidRDefault="00713A59" w:rsidP="00713A59">
            <w:r w:rsidRPr="00713A59">
              <w:t>Unquoted shares</w:t>
            </w:r>
          </w:p>
        </w:tc>
      </w:tr>
      <w:tr w:rsidR="00713A59" w:rsidRPr="00713A59" w:rsidTr="00713A59">
        <w:trPr>
          <w:tblCellSpacing w:w="15" w:type="dxa"/>
        </w:trPr>
        <w:tc>
          <w:tcPr>
            <w:tcW w:w="2500" w:type="pct"/>
            <w:shd w:val="clear" w:color="auto" w:fill="FFFFFF"/>
            <w:tcMar>
              <w:top w:w="45" w:type="dxa"/>
              <w:left w:w="45" w:type="dxa"/>
              <w:bottom w:w="45" w:type="dxa"/>
              <w:right w:w="45" w:type="dxa"/>
            </w:tcMar>
            <w:vAlign w:val="center"/>
            <w:hideMark/>
          </w:tcPr>
          <w:p w:rsidR="00713A59" w:rsidRPr="00713A59" w:rsidRDefault="00713A59" w:rsidP="00713A59">
            <w:r w:rsidRPr="00713A59">
              <w:t>Total cost of any assets acquired</w:t>
            </w:r>
          </w:p>
        </w:tc>
        <w:tc>
          <w:tcPr>
            <w:tcW w:w="0" w:type="auto"/>
            <w:shd w:val="clear" w:color="auto" w:fill="FFFFFF"/>
            <w:tcMar>
              <w:top w:w="45" w:type="dxa"/>
              <w:left w:w="45" w:type="dxa"/>
              <w:bottom w:w="45" w:type="dxa"/>
              <w:right w:w="45" w:type="dxa"/>
            </w:tcMar>
            <w:vAlign w:val="center"/>
            <w:hideMark/>
          </w:tcPr>
          <w:p w:rsidR="00713A59" w:rsidRPr="00713A59" w:rsidRDefault="00713A59" w:rsidP="00713A59"/>
        </w:tc>
        <w:tc>
          <w:tcPr>
            <w:tcW w:w="0" w:type="auto"/>
            <w:shd w:val="clear" w:color="auto" w:fill="FFFFFF"/>
            <w:tcMar>
              <w:top w:w="45" w:type="dxa"/>
              <w:left w:w="45" w:type="dxa"/>
              <w:bottom w:w="45" w:type="dxa"/>
              <w:right w:w="45" w:type="dxa"/>
            </w:tcMar>
            <w:vAlign w:val="center"/>
            <w:hideMark/>
          </w:tcPr>
          <w:p w:rsidR="00713A59" w:rsidRPr="00713A59" w:rsidRDefault="00713A59" w:rsidP="00713A59">
            <w:r w:rsidRPr="00713A59">
              <w:t>£30000</w:t>
            </w:r>
          </w:p>
        </w:tc>
      </w:tr>
    </w:tbl>
    <w:p w:rsidR="00713A59" w:rsidRPr="00713A59" w:rsidRDefault="00713A59" w:rsidP="00713A59">
      <w:pPr>
        <w:rPr>
          <w:vanish/>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713A59" w:rsidRPr="00713A59" w:rsidTr="00713A59">
        <w:trPr>
          <w:tblCellSpacing w:w="15" w:type="dxa"/>
        </w:trPr>
        <w:tc>
          <w:tcPr>
            <w:tcW w:w="2500" w:type="pct"/>
            <w:shd w:val="clear" w:color="auto" w:fill="FFFFFF"/>
            <w:tcMar>
              <w:top w:w="45" w:type="dxa"/>
              <w:left w:w="45" w:type="dxa"/>
              <w:bottom w:w="45" w:type="dxa"/>
              <w:right w:w="45" w:type="dxa"/>
            </w:tcMar>
            <w:vAlign w:val="center"/>
            <w:hideMark/>
          </w:tcPr>
          <w:p w:rsidR="00713A59" w:rsidRPr="00713A59" w:rsidRDefault="00713A59" w:rsidP="00713A59">
            <w:r w:rsidRPr="00713A59">
              <w:t>Total amount of income from assets received</w:t>
            </w:r>
          </w:p>
        </w:tc>
        <w:tc>
          <w:tcPr>
            <w:tcW w:w="250" w:type="pct"/>
            <w:shd w:val="clear" w:color="auto" w:fill="FFFFFF"/>
            <w:tcMar>
              <w:top w:w="45" w:type="dxa"/>
              <w:left w:w="45" w:type="dxa"/>
              <w:bottom w:w="45" w:type="dxa"/>
              <w:right w:w="45" w:type="dxa"/>
            </w:tcMar>
            <w:vAlign w:val="center"/>
            <w:hideMark/>
          </w:tcPr>
          <w:p w:rsidR="00713A59" w:rsidRPr="00713A59" w:rsidRDefault="00713A59" w:rsidP="00713A59"/>
        </w:tc>
        <w:tc>
          <w:tcPr>
            <w:tcW w:w="0" w:type="auto"/>
            <w:shd w:val="clear" w:color="auto" w:fill="FFFFFF"/>
            <w:tcMar>
              <w:top w:w="45" w:type="dxa"/>
              <w:left w:w="45" w:type="dxa"/>
              <w:bottom w:w="45" w:type="dxa"/>
              <w:right w:w="45" w:type="dxa"/>
            </w:tcMar>
            <w:vAlign w:val="center"/>
            <w:hideMark/>
          </w:tcPr>
          <w:p w:rsidR="00713A59" w:rsidRPr="00713A59" w:rsidRDefault="00713A59" w:rsidP="00713A59">
            <w:r w:rsidRPr="00713A59">
              <w:t>£0</w:t>
            </w:r>
          </w:p>
        </w:tc>
      </w:tr>
    </w:tbl>
    <w:p w:rsidR="00F561C0" w:rsidRDefault="00F561C0"/>
    <w:p w:rsidR="00F561C0" w:rsidRDefault="00F561C0"/>
    <w:p w:rsidR="00F561C0" w:rsidRDefault="00F561C0"/>
    <w:p w:rsidR="00F561C0" w:rsidRDefault="00F561C0"/>
    <w:p w:rsidR="00F561C0" w:rsidRDefault="00F561C0"/>
    <w:p w:rsidR="00F561C0" w:rsidRDefault="00F561C0"/>
    <w:p w:rsidR="00F561C0" w:rsidRDefault="00F561C0"/>
    <w:p w:rsidR="00F561C0" w:rsidRDefault="00F561C0"/>
    <w:p w:rsidR="00F561C0" w:rsidRDefault="00F561C0"/>
    <w:p w:rsidR="0080783B" w:rsidRDefault="0080783B"/>
    <w:p w:rsidR="00B06CA3" w:rsidRDefault="00B06CA3"/>
    <w:p w:rsidR="00B06CA3" w:rsidRDefault="00B06CA3"/>
    <w:p w:rsidR="00382E0B" w:rsidRDefault="00382E0B"/>
    <w:p w:rsidR="00382E0B" w:rsidRDefault="00382E0B"/>
    <w:p w:rsidR="00382E0B" w:rsidRDefault="00382E0B"/>
    <w:p w:rsidR="00382E0B" w:rsidRDefault="00382E0B"/>
    <w:p w:rsidR="00382E0B" w:rsidRDefault="00382E0B"/>
    <w:p w:rsidR="00382E0B" w:rsidRDefault="00382E0B"/>
    <w:p w:rsidR="00382E0B" w:rsidRDefault="00382E0B"/>
    <w:p w:rsidR="00382E0B" w:rsidRDefault="00382E0B"/>
    <w:p w:rsidR="00382E0B" w:rsidRDefault="00382E0B"/>
    <w:p w:rsidR="00382E0B" w:rsidRDefault="00382E0B"/>
    <w:p w:rsidR="00382E0B" w:rsidRDefault="00382E0B">
      <w:bookmarkStart w:id="5" w:name="_GoBack"/>
      <w:bookmarkEnd w:id="5"/>
    </w:p>
    <w:p w:rsidR="00B06CA3" w:rsidRDefault="00B06CA3"/>
    <w:p w:rsidR="00B06CA3" w:rsidRDefault="00B06CA3"/>
    <w:p w:rsidR="00B06CA3" w:rsidRDefault="00B06CA3"/>
    <w:p w:rsidR="00B06CA3" w:rsidRDefault="00B06CA3"/>
    <w:p w:rsidR="00B06CA3" w:rsidRDefault="00B06CA3"/>
    <w:p w:rsidR="00A83F05" w:rsidRDefault="00722EF6">
      <w:pPr>
        <w:ind w:right="1460"/>
        <w:jc w:val="both"/>
      </w:pPr>
      <w:r>
        <w:rPr>
          <w:b/>
          <w:color w:val="808080"/>
          <w:sz w:val="48"/>
          <w:szCs w:val="48"/>
        </w:rPr>
        <w:lastRenderedPageBreak/>
        <w:t xml:space="preserve">3.       </w:t>
      </w:r>
      <w:r>
        <w:rPr>
          <w:b/>
          <w:color w:val="1FAFD6"/>
          <w:sz w:val="48"/>
          <w:szCs w:val="48"/>
        </w:rPr>
        <w:t>Inflation Report</w:t>
      </w:r>
    </w:p>
    <w:p w:rsidR="00A83F05" w:rsidRDefault="00722EF6">
      <w:pPr>
        <w:ind w:right="1460"/>
        <w:jc w:val="both"/>
      </w:pPr>
      <w:r>
        <w:rPr>
          <w:rFonts w:ascii="Calibri" w:eastAsia="Calibri" w:hAnsi="Calibri" w:cs="Calibri"/>
        </w:rPr>
        <w:t xml:space="preserve"> </w:t>
      </w:r>
    </w:p>
    <w:p w:rsidR="00A83F05" w:rsidRDefault="00722EF6">
      <w:r>
        <w:rPr>
          <w:sz w:val="20"/>
          <w:szCs w:val="20"/>
        </w:rPr>
        <w:t xml:space="preserve"> </w:t>
      </w:r>
    </w:p>
    <w:p w:rsidR="00EF53BC" w:rsidRDefault="00EF53BC" w:rsidP="00EF53BC">
      <w:pPr>
        <w:ind w:left="1380" w:right="200"/>
        <w:jc w:val="both"/>
        <w:rPr>
          <w:lang w:val="en-US"/>
        </w:rPr>
      </w:pPr>
      <w:r>
        <w:rPr>
          <w:lang w:val="en-US"/>
        </w:rPr>
        <w:t xml:space="preserve">The following is an extract from the Inflation Report produced by the Bank of England in February 2017. The next Inflation Report will be produced and available from 11 May 2017. The entire report can be read here: </w:t>
      </w:r>
      <w:hyperlink r:id="rId8" w:history="1">
        <w:r w:rsidRPr="002B7CC3">
          <w:rPr>
            <w:rStyle w:val="Hyperlink"/>
            <w:lang w:val="en-US"/>
          </w:rPr>
          <w:t>www.bankofengland.co.uk/publications/Pages/inflationreport/2017/feb.aspx</w:t>
        </w:r>
      </w:hyperlink>
    </w:p>
    <w:p w:rsidR="00EF53BC" w:rsidRDefault="00EF53BC" w:rsidP="00EF53BC">
      <w:pPr>
        <w:ind w:left="1380" w:right="200"/>
        <w:jc w:val="both"/>
        <w:rPr>
          <w:lang w:val="en-US"/>
        </w:rPr>
      </w:pPr>
    </w:p>
    <w:p w:rsidR="00EF53BC" w:rsidRPr="00EF53BC" w:rsidRDefault="00EF53BC" w:rsidP="00EF53BC">
      <w:pPr>
        <w:ind w:left="1380" w:right="200"/>
        <w:jc w:val="both"/>
        <w:rPr>
          <w:lang w:val="en-US"/>
        </w:rPr>
      </w:pPr>
      <w:r w:rsidRPr="00EF53BC">
        <w:rPr>
          <w:lang w:val="en-US"/>
        </w:rPr>
        <w:t>The Bank of England’s Monetary Policy Committee (MPC) sets monetary policy to meet the 2% inflation target, and in a way that helps to sustain growth and employment. At its meeting ending on 1 February 2017, the Committee voted unanimously to maintain</w:t>
      </w:r>
    </w:p>
    <w:p w:rsidR="00A83F05" w:rsidRDefault="00EF53BC" w:rsidP="00EF53BC">
      <w:pPr>
        <w:ind w:left="1380" w:right="200"/>
        <w:jc w:val="both"/>
      </w:pPr>
      <w:r w:rsidRPr="00EF53BC">
        <w:rPr>
          <w:lang w:val="en-US"/>
        </w:rPr>
        <w:t xml:space="preserve">Bank Rate at 0.25%. The Committee voted unanimously to continue with the </w:t>
      </w:r>
      <w:proofErr w:type="spellStart"/>
      <w:r w:rsidRPr="00EF53BC">
        <w:rPr>
          <w:lang w:val="en-US"/>
        </w:rPr>
        <w:t>programme</w:t>
      </w:r>
      <w:proofErr w:type="spellEnd"/>
      <w:r w:rsidRPr="00EF53BC">
        <w:rPr>
          <w:lang w:val="en-US"/>
        </w:rPr>
        <w:t xml:space="preserve"> of sterling non-financial investment-grade corporate bond purchases, financed by the issuance of central bank reserves, </w:t>
      </w:r>
      <w:proofErr w:type="spellStart"/>
      <w:r w:rsidRPr="00EF53BC">
        <w:rPr>
          <w:lang w:val="en-US"/>
        </w:rPr>
        <w:t>totalling</w:t>
      </w:r>
      <w:proofErr w:type="spellEnd"/>
      <w:r w:rsidRPr="00EF53BC">
        <w:rPr>
          <w:lang w:val="en-US"/>
        </w:rPr>
        <w:t xml:space="preserve"> up to £10 billion. The Committee also voted unanimously to maintain the stock of UK government bond purchases, financed by the issuance of central bank reserves, at £435 </w:t>
      </w:r>
      <w:r>
        <w:rPr>
          <w:lang w:val="en-US"/>
        </w:rPr>
        <w:t>billion.</w:t>
      </w:r>
      <w:r w:rsidR="00722EF6">
        <w:rPr>
          <w:rFonts w:ascii="Calibri" w:eastAsia="Calibri" w:hAnsi="Calibri" w:cs="Calibri"/>
        </w:rPr>
        <w:t xml:space="preserve"> </w:t>
      </w:r>
    </w:p>
    <w:p w:rsidR="00A83F05" w:rsidRDefault="00722EF6" w:rsidP="00E03577">
      <w:r>
        <w:rPr>
          <w:sz w:val="16"/>
          <w:szCs w:val="16"/>
        </w:rPr>
        <w:t xml:space="preserve"> </w:t>
      </w:r>
    </w:p>
    <w:p w:rsidR="00EF53BC" w:rsidRDefault="00EF53BC" w:rsidP="00EF53BC">
      <w:pPr>
        <w:ind w:left="1380" w:right="200"/>
        <w:jc w:val="both"/>
        <w:rPr>
          <w:lang w:val="en-US"/>
        </w:rPr>
      </w:pPr>
      <w:r w:rsidRPr="00EF53BC">
        <w:rPr>
          <w:lang w:val="en-US"/>
        </w:rPr>
        <w:t xml:space="preserve">Since the November </w:t>
      </w:r>
      <w:r w:rsidRPr="00EF53BC">
        <w:rPr>
          <w:i/>
          <w:lang w:val="en-US"/>
        </w:rPr>
        <w:t>Report</w:t>
      </w:r>
      <w:r w:rsidRPr="00EF53BC">
        <w:rPr>
          <w:lang w:val="en-US"/>
        </w:rPr>
        <w:t xml:space="preserve">, there have been rises in government bond yields and equity prices globally. Market contacts attribute these moves primarily to greater near-term momentum in global activity growth and an anticipated expansion of US fiscal policy further ahead. Sterling has been volatile, probably reflecting changing expectations of the form and impact of </w:t>
      </w:r>
      <w:proofErr w:type="spellStart"/>
      <w:r w:rsidRPr="00EF53BC">
        <w:rPr>
          <w:lang w:val="en-US"/>
        </w:rPr>
        <w:t>Brexit</w:t>
      </w:r>
      <w:proofErr w:type="spellEnd"/>
      <w:r w:rsidRPr="00EF53BC">
        <w:rPr>
          <w:lang w:val="en-US"/>
        </w:rPr>
        <w:t>.</w:t>
      </w:r>
    </w:p>
    <w:p w:rsidR="00EF53BC" w:rsidRDefault="00EF53BC" w:rsidP="00EF53BC">
      <w:pPr>
        <w:ind w:left="1380" w:right="200"/>
        <w:jc w:val="both"/>
        <w:rPr>
          <w:lang w:val="en-US"/>
        </w:rPr>
      </w:pPr>
    </w:p>
    <w:p w:rsidR="00EF53BC" w:rsidRDefault="00EF53BC" w:rsidP="00EF53BC">
      <w:pPr>
        <w:ind w:left="1380" w:right="200"/>
        <w:jc w:val="both"/>
        <w:rPr>
          <w:lang w:val="en-US"/>
        </w:rPr>
      </w:pPr>
      <w:r w:rsidRPr="00EF53BC">
        <w:rPr>
          <w:lang w:val="en-US"/>
        </w:rPr>
        <w:t>Output growth has been stable during 2016 at close to past average rates. Underpinning that, consumption growth has been robust, though it is expected to slow as the rise in import prices weighs on households’ purchasing power. Activity in the housing market has picked up slightly but remains subdued. In contrast, investment has declined over the past year and, despite the depreciation in sterling, net trade has dragged on GDP growth.</w:t>
      </w:r>
    </w:p>
    <w:p w:rsidR="00EF53BC" w:rsidRDefault="00EF53BC" w:rsidP="00EF53BC">
      <w:pPr>
        <w:ind w:left="1380" w:right="200"/>
        <w:jc w:val="both"/>
        <w:rPr>
          <w:lang w:val="en-US"/>
        </w:rPr>
      </w:pPr>
    </w:p>
    <w:p w:rsidR="00EF53BC" w:rsidRDefault="00EF53BC" w:rsidP="00EF53BC">
      <w:pPr>
        <w:ind w:left="1380" w:right="200"/>
        <w:jc w:val="both"/>
        <w:rPr>
          <w:lang w:val="en-US"/>
        </w:rPr>
      </w:pPr>
      <w:r w:rsidRPr="00EF53BC">
        <w:rPr>
          <w:lang w:val="en-US"/>
        </w:rPr>
        <w:t xml:space="preserve">Employment growth has slowed although the unemployment rate has fallen a little further. Unemployment is projected to remain somewhat above its equilibrium rate, the estimate of which has been revised down since November as part of the MPC’s regular assessment of aggregate supply-side conditions. Productivity growth is projected to be modest. Weak productivity and a degree of slack in the </w:t>
      </w:r>
      <w:proofErr w:type="spellStart"/>
      <w:r w:rsidRPr="00EF53BC">
        <w:rPr>
          <w:lang w:val="en-US"/>
        </w:rPr>
        <w:t>labour</w:t>
      </w:r>
      <w:proofErr w:type="spellEnd"/>
      <w:r w:rsidRPr="00EF53BC">
        <w:rPr>
          <w:lang w:val="en-US"/>
        </w:rPr>
        <w:t xml:space="preserve"> market are projected to continue to weigh on wage growth, as the drag from low inflation diminishes.</w:t>
      </w:r>
    </w:p>
    <w:p w:rsidR="00E4794D" w:rsidRDefault="00E4794D" w:rsidP="00EF53BC">
      <w:pPr>
        <w:ind w:left="1380" w:right="200"/>
        <w:jc w:val="both"/>
        <w:rPr>
          <w:lang w:val="en-US"/>
        </w:rPr>
      </w:pPr>
    </w:p>
    <w:p w:rsidR="00E4794D" w:rsidRDefault="00E4794D" w:rsidP="00EF53BC">
      <w:pPr>
        <w:ind w:left="1380" w:right="200"/>
        <w:jc w:val="both"/>
        <w:rPr>
          <w:lang w:val="en-US"/>
        </w:rPr>
      </w:pPr>
    </w:p>
    <w:p w:rsidR="00E4794D" w:rsidRPr="00E4794D" w:rsidRDefault="00E4794D" w:rsidP="00E4794D">
      <w:pPr>
        <w:ind w:left="1380" w:right="200"/>
        <w:jc w:val="both"/>
        <w:rPr>
          <w:lang w:val="en-US"/>
        </w:rPr>
      </w:pPr>
      <w:r w:rsidRPr="00E4794D">
        <w:rPr>
          <w:lang w:val="en-US"/>
        </w:rPr>
        <w:t xml:space="preserve">CPI inflation picked up to 1.6% in December. It is projected to rise above the 2% target for a time as the past fall in the sterling exchange rate passes through to consumer prices. The extent to which inflation rises above the target will be sensitive to any further movements in sterling, which has been volatile. It will also </w:t>
      </w:r>
      <w:r w:rsidRPr="00E4794D">
        <w:rPr>
          <w:lang w:val="en-US"/>
        </w:rPr>
        <w:lastRenderedPageBreak/>
        <w:t xml:space="preserve">depend on domestic cost pressures. Slowing domestic demand growth is likely to weigh slightly on </w:t>
      </w:r>
      <w:proofErr w:type="spellStart"/>
      <w:r w:rsidRPr="00E4794D">
        <w:rPr>
          <w:lang w:val="en-US"/>
        </w:rPr>
        <w:t>labour</w:t>
      </w:r>
      <w:proofErr w:type="spellEnd"/>
      <w:r w:rsidRPr="00E4794D">
        <w:rPr>
          <w:lang w:val="en-US"/>
        </w:rPr>
        <w:t xml:space="preserve"> cost pressures and domestically generated inflation.</w:t>
      </w:r>
    </w:p>
    <w:p w:rsidR="00E4794D" w:rsidRPr="00E4794D" w:rsidRDefault="00E4794D" w:rsidP="00E4794D">
      <w:pPr>
        <w:ind w:left="1380" w:right="200"/>
        <w:jc w:val="both"/>
        <w:rPr>
          <w:lang w:val="en-US"/>
        </w:rPr>
      </w:pPr>
      <w:r w:rsidRPr="00E4794D">
        <w:rPr>
          <w:lang w:val="en-US"/>
        </w:rPr>
        <w:t>Inflation expectations have risen but are judged to be broadly consistent with the MPC’s 2% target.</w:t>
      </w:r>
    </w:p>
    <w:p w:rsidR="00EF53BC" w:rsidRDefault="00EF53BC" w:rsidP="00EF53BC">
      <w:pPr>
        <w:ind w:left="1380" w:right="200"/>
        <w:jc w:val="both"/>
        <w:rPr>
          <w:lang w:val="en-US"/>
        </w:rPr>
      </w:pPr>
    </w:p>
    <w:p w:rsidR="00E4794D" w:rsidRPr="00E4794D" w:rsidRDefault="00E4794D" w:rsidP="00E4794D">
      <w:pPr>
        <w:ind w:left="1380" w:right="200"/>
        <w:jc w:val="both"/>
        <w:rPr>
          <w:lang w:val="en-US"/>
        </w:rPr>
      </w:pPr>
      <w:r w:rsidRPr="00E4794D">
        <w:rPr>
          <w:lang w:val="en-US"/>
        </w:rPr>
        <w:t>UK economic activity remained resilient in the second half of 2016. Growth is likely to slow over 2017 as households adjust their spending to lower real income growth resulting in large part from the 18% fall in sterling since late 2015. That fall in sterling will raise CPI inflation, which is likely to return to around the 2% target by February and then rise above it over the following months.</w:t>
      </w:r>
    </w:p>
    <w:p w:rsidR="00E4794D" w:rsidRPr="00E4794D" w:rsidRDefault="00E4794D" w:rsidP="00E4794D">
      <w:pPr>
        <w:ind w:left="1380" w:right="200"/>
        <w:jc w:val="both"/>
        <w:rPr>
          <w:lang w:val="en-US"/>
        </w:rPr>
      </w:pPr>
      <w:r w:rsidRPr="00E4794D">
        <w:rPr>
          <w:lang w:val="en-US"/>
        </w:rPr>
        <w:t>Conditioned on a market path for Bank Rate that rises to just under 0.75% by early 2020, the MPC projects CPI inflation to fall back gradually from the middle of 2018. Continued pass-through of higher import prices means, however, that inflation is projected to remain somewhat above the 2% target at the end of the Committee’s three-year forecast period.</w:t>
      </w:r>
    </w:p>
    <w:p w:rsidR="00A83F05" w:rsidRDefault="00A83F05" w:rsidP="00E4794D">
      <w:pPr>
        <w:ind w:right="200"/>
        <w:jc w:val="both"/>
      </w:pPr>
    </w:p>
    <w:p w:rsidR="00A83F05" w:rsidRDefault="00A83F05"/>
    <w:p w:rsidR="00A83F05" w:rsidRDefault="008E3C98">
      <w:pPr>
        <w:ind w:left="360" w:right="1460"/>
        <w:jc w:val="both"/>
      </w:pPr>
      <w:r>
        <w:rPr>
          <w:b/>
          <w:color w:val="808080"/>
          <w:sz w:val="48"/>
          <w:szCs w:val="48"/>
        </w:rPr>
        <w:t>4</w:t>
      </w:r>
      <w:r w:rsidR="00722EF6">
        <w:rPr>
          <w:b/>
          <w:color w:val="808080"/>
          <w:sz w:val="48"/>
          <w:szCs w:val="48"/>
        </w:rPr>
        <w:t xml:space="preserve">.     </w:t>
      </w:r>
      <w:r w:rsidR="00722EF6">
        <w:rPr>
          <w:b/>
          <w:color w:val="1FAFD6"/>
          <w:sz w:val="48"/>
          <w:szCs w:val="48"/>
        </w:rPr>
        <w:t>Latest pension news</w:t>
      </w:r>
    </w:p>
    <w:p w:rsidR="00A83F05" w:rsidRDefault="00722EF6">
      <w:r>
        <w:rPr>
          <w:sz w:val="18"/>
          <w:szCs w:val="18"/>
        </w:rPr>
        <w:t xml:space="preserve"> </w:t>
      </w:r>
    </w:p>
    <w:p w:rsidR="00A83F05" w:rsidRDefault="00722EF6">
      <w:r>
        <w:rPr>
          <w:sz w:val="20"/>
          <w:szCs w:val="20"/>
        </w:rPr>
        <w:t xml:space="preserve"> </w:t>
      </w:r>
    </w:p>
    <w:p w:rsidR="00A83F05" w:rsidRDefault="00722EF6">
      <w:pPr>
        <w:spacing w:before="20"/>
        <w:ind w:left="1395"/>
      </w:pPr>
      <w:r>
        <w:rPr>
          <w:b/>
          <w:color w:val="1FAFD6"/>
          <w:sz w:val="24"/>
          <w:szCs w:val="24"/>
        </w:rPr>
        <w:t>Changes to Lifetime Allowance scheme that will affect your pension</w:t>
      </w:r>
    </w:p>
    <w:p w:rsidR="00A83F05" w:rsidRDefault="00722EF6">
      <w:pPr>
        <w:spacing w:before="160" w:after="160" w:line="360" w:lineRule="auto"/>
        <w:ind w:left="1395"/>
      </w:pPr>
      <w:r>
        <w:rPr>
          <w:b/>
          <w:color w:val="1FAFD6"/>
          <w:sz w:val="24"/>
          <w:szCs w:val="24"/>
        </w:rPr>
        <w:t>What is it?</w:t>
      </w:r>
    </w:p>
    <w:p w:rsidR="00A83F05" w:rsidRDefault="00722EF6">
      <w:pPr>
        <w:ind w:left="1380" w:right="200"/>
        <w:jc w:val="both"/>
      </w:pPr>
      <w:r>
        <w:t>Lifetime Allowance is a limit on the amount of pension benefit that can be drawn from your pension scheme without incurring an extra tax charge. Currently the Lifetime Allowance scheme stands at £1.25m following pension reforms from 2010 onward.</w:t>
      </w:r>
    </w:p>
    <w:p w:rsidR="00A83F05" w:rsidRDefault="00722EF6">
      <w:pPr>
        <w:ind w:left="1380" w:right="200"/>
        <w:jc w:val="both"/>
      </w:pPr>
      <w:r>
        <w:t>In April 2016 this limit will be reduced to £1m. Any amount over your lifetime allowance that you take as a lump sum is taxed at 55%. Any amount over your lifetime allowance that you take as a regular retirement income – for instance by buying an annuity – attracts a lifetime allowance charge of 25%. This is on top of any tax payable on the income in the usual way.</w:t>
      </w:r>
    </w:p>
    <w:p w:rsidR="00A83F05" w:rsidRDefault="00722EF6">
      <w:pPr>
        <w:spacing w:before="160" w:after="160" w:line="360" w:lineRule="auto"/>
        <w:ind w:left="1395"/>
      </w:pPr>
      <w:r>
        <w:rPr>
          <w:color w:val="202020"/>
          <w:sz w:val="24"/>
          <w:szCs w:val="24"/>
        </w:rPr>
        <w:t xml:space="preserve"> </w:t>
      </w:r>
      <w:r>
        <w:rPr>
          <w:b/>
          <w:color w:val="1FAFD6"/>
          <w:sz w:val="24"/>
          <w:szCs w:val="24"/>
        </w:rPr>
        <w:t>How will it affect me?</w:t>
      </w:r>
    </w:p>
    <w:p w:rsidR="00A83F05" w:rsidRDefault="00722EF6">
      <w:pPr>
        <w:ind w:left="1380" w:right="200"/>
        <w:jc w:val="both"/>
      </w:pPr>
      <w:r>
        <w:t>If you’re the value pension is approaching or exceeds the lifetime allowance, you must take action or could face unpleasant taxes.</w:t>
      </w:r>
    </w:p>
    <w:p w:rsidR="00A83F05" w:rsidRDefault="00722EF6">
      <w:pPr>
        <w:ind w:left="1380" w:right="200"/>
        <w:jc w:val="both"/>
      </w:pPr>
      <w:r>
        <w:t>Even if you are not sure that this applies to your situation, it could affect you. Pensions are a long term commitment, and even if your pension fund seems modest now, by the time you come to draw out the benefits it could stand to be a much larger sum, exceeding the lifetime allowance.</w:t>
      </w:r>
    </w:p>
    <w:p w:rsidR="00A83F05" w:rsidRDefault="00722EF6">
      <w:pPr>
        <w:spacing w:before="160" w:after="160" w:line="360" w:lineRule="auto"/>
        <w:ind w:left="1395"/>
      </w:pPr>
      <w:r>
        <w:rPr>
          <w:color w:val="202020"/>
          <w:sz w:val="24"/>
          <w:szCs w:val="24"/>
        </w:rPr>
        <w:t xml:space="preserve"> </w:t>
      </w:r>
      <w:r>
        <w:rPr>
          <w:b/>
          <w:color w:val="1FAFD6"/>
          <w:sz w:val="24"/>
          <w:szCs w:val="24"/>
        </w:rPr>
        <w:t>What can I do about it?</w:t>
      </w:r>
    </w:p>
    <w:p w:rsidR="00A83F05" w:rsidRDefault="00722EF6">
      <w:pPr>
        <w:ind w:left="1380" w:right="200"/>
        <w:jc w:val="both"/>
      </w:pPr>
      <w:r>
        <w:t xml:space="preserve">Transitional protections have been introduced, in the form of Fixed Protection 2016 (FP2016) and Individual Protection 2016 (IP2016). We have included the details of these below. HMRC confirmed in Newsletter 73 that you can apply for </w:t>
      </w:r>
      <w:r>
        <w:lastRenderedPageBreak/>
        <w:t>FP2016 AND IP2016 through an online self-service portal. This will then provide a protection reference number which you can use in order to take benefits using a protected Lifetime Allowance.</w:t>
      </w:r>
    </w:p>
    <w:p w:rsidR="00A83F05" w:rsidRDefault="00722EF6">
      <w:pPr>
        <w:spacing w:before="160" w:after="160" w:line="360" w:lineRule="auto"/>
        <w:ind w:left="1395"/>
      </w:pPr>
      <w:r>
        <w:rPr>
          <w:b/>
          <w:color w:val="1FAFD6"/>
          <w:sz w:val="24"/>
          <w:szCs w:val="24"/>
        </w:rPr>
        <w:t>Fixed protection 2016</w:t>
      </w:r>
    </w:p>
    <w:p w:rsidR="00A83F05" w:rsidRDefault="00722EF6">
      <w:pPr>
        <w:ind w:left="1380" w:right="200"/>
        <w:jc w:val="both"/>
      </w:pPr>
      <w:r>
        <w:t>FP2016 is available for those that do not already have a previous version of fixed, enhanced or primary protection and do not contribute into or accrue benefits after 5th April 2016. The lifetime allowance will be £1.25 Million.</w:t>
      </w:r>
    </w:p>
    <w:p w:rsidR="00A83F05" w:rsidRDefault="00722EF6">
      <w:pPr>
        <w:spacing w:before="160" w:after="160" w:line="360" w:lineRule="auto"/>
        <w:ind w:left="1395"/>
      </w:pPr>
      <w:r>
        <w:rPr>
          <w:b/>
          <w:color w:val="1FAFD6"/>
          <w:sz w:val="24"/>
          <w:szCs w:val="24"/>
        </w:rPr>
        <w:t>Individual protection 2016</w:t>
      </w:r>
    </w:p>
    <w:p w:rsidR="00A83F05" w:rsidRDefault="00722EF6">
      <w:pPr>
        <w:ind w:left="1380" w:right="200"/>
        <w:jc w:val="both"/>
      </w:pPr>
      <w:r>
        <w:t>IP2016 is available for those that have pensions valued in excess of £1 Million as at the 5th April 2016. Unlike FP2016, holders of IP2016 will be able to carry on contributing and accruing benefits.</w:t>
      </w:r>
    </w:p>
    <w:p w:rsidR="00A83F05" w:rsidRDefault="00A83F05">
      <w:pPr>
        <w:ind w:left="1380" w:right="200"/>
        <w:jc w:val="both"/>
      </w:pPr>
    </w:p>
    <w:p w:rsidR="00CA44FE" w:rsidRDefault="00CA44FE">
      <w:pPr>
        <w:ind w:left="1380" w:right="200"/>
        <w:jc w:val="both"/>
      </w:pPr>
    </w:p>
    <w:p w:rsidR="00A83F05" w:rsidRDefault="00722EF6">
      <w:pPr>
        <w:ind w:left="1380" w:right="200"/>
        <w:jc w:val="both"/>
      </w:pPr>
      <w:r>
        <w:t>It’s important to be proactive where your pension is concerned, and make prudent decisions with your pension provider’s advice. If you have any questions about the specifics of your pension, please get in touch to find out the best advice for your situation.  Contact davidn@pensionpractitioner.com for guidance and reassurance concerning your pension scheme.</w:t>
      </w:r>
    </w:p>
    <w:p w:rsidR="00A83F05" w:rsidRDefault="00A83F05">
      <w:pPr>
        <w:ind w:left="1380" w:right="200"/>
        <w:jc w:val="both"/>
      </w:pPr>
    </w:p>
    <w:p w:rsidR="00A83F05" w:rsidRDefault="00722EF6">
      <w:pPr>
        <w:ind w:left="1380" w:right="200"/>
        <w:jc w:val="both"/>
      </w:pPr>
      <w:r>
        <w:rPr>
          <w:b/>
          <w:color w:val="1FAFD6"/>
          <w:sz w:val="24"/>
          <w:szCs w:val="24"/>
        </w:rPr>
        <w:t>Pension Liberation</w:t>
      </w:r>
    </w:p>
    <w:p w:rsidR="00A83F05" w:rsidRDefault="00A83F05">
      <w:pPr>
        <w:ind w:left="1380" w:right="200"/>
        <w:jc w:val="both"/>
      </w:pPr>
    </w:p>
    <w:p w:rsidR="00A83F05" w:rsidRDefault="00722EF6">
      <w:pPr>
        <w:ind w:left="1380" w:right="200"/>
        <w:jc w:val="both"/>
      </w:pPr>
      <w: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A83F05" w:rsidRDefault="00722EF6">
      <w:pPr>
        <w:ind w:left="1380" w:right="200"/>
        <w:jc w:val="both"/>
      </w:pPr>
      <w:r>
        <w:t xml:space="preserve"> </w:t>
      </w:r>
    </w:p>
    <w:p w:rsidR="00A83F05" w:rsidRDefault="00722EF6">
      <w:pPr>
        <w:ind w:left="1380" w:right="200"/>
        <w:jc w:val="both"/>
      </w:pPr>
      <w: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A83F05" w:rsidRDefault="00722EF6">
      <w:pPr>
        <w:ind w:left="1380" w:right="200"/>
        <w:jc w:val="both"/>
      </w:pPr>
      <w:r>
        <w:t xml:space="preserve"> </w:t>
      </w:r>
    </w:p>
    <w:p w:rsidR="00A83F05" w:rsidRDefault="00722EF6">
      <w:pPr>
        <w:ind w:left="1380" w:right="200"/>
        <w:jc w:val="both"/>
      </w:pPr>
      <w:r>
        <w:t>If you have therefore been offered a financial incentive for an investment, we strongly recommend that you notify us in order that we can ensure that the operator is blocked from further business.</w:t>
      </w:r>
    </w:p>
    <w:p w:rsidR="00A83F05" w:rsidRDefault="00722EF6">
      <w:pPr>
        <w:spacing w:before="20"/>
        <w:ind w:right="200"/>
      </w:pPr>
      <w:r>
        <w:rPr>
          <w:sz w:val="24"/>
          <w:szCs w:val="24"/>
        </w:rPr>
        <w:t xml:space="preserve"> </w:t>
      </w:r>
    </w:p>
    <w:p w:rsidR="00A83F05" w:rsidRDefault="00722EF6">
      <w:pPr>
        <w:spacing w:after="200"/>
        <w:ind w:left="1380" w:right="200"/>
        <w:jc w:val="both"/>
      </w:pPr>
      <w:r>
        <w:rPr>
          <w:b/>
          <w:color w:val="1FAFD6"/>
          <w:sz w:val="24"/>
          <w:szCs w:val="24"/>
        </w:rPr>
        <w:t>Flexible Retirement options</w:t>
      </w:r>
    </w:p>
    <w:p w:rsidR="00A83F05" w:rsidRDefault="00722EF6">
      <w:pPr>
        <w:spacing w:after="200"/>
        <w:ind w:left="1380" w:right="200"/>
        <w:jc w:val="both"/>
      </w:pPr>
      <w:r>
        <w:t xml:space="preserve">A SSAS can take advantage of the recently announced flexible drawdown options to offer control and flexibility in the area of Pension Contributions and Investments. A SSAS is an extremely flexible solution for retirement income drawdown and Business exit options. At the age of 55 you can commence drawdown from your Pension fund. Currently you can draw the first 25% of the </w:t>
      </w:r>
      <w:r>
        <w:lastRenderedPageBreak/>
        <w:t xml:space="preserve">fund Tax-free. Because of the recent changes in Pension Legislation, you can take the remainder of the cash as you wish and only pay marginal rate Tax as and when you draw it. Marginal rate means the amount you drawdown will attract PAYE as if it were salary. </w:t>
      </w:r>
    </w:p>
    <w:p w:rsidR="00A83F05" w:rsidRDefault="00722EF6">
      <w:pPr>
        <w:spacing w:after="200"/>
        <w:ind w:left="1380" w:right="200"/>
        <w:jc w:val="both"/>
      </w:pPr>
      <w:r>
        <w:t>For example: If a Members fund holds £200k at age 55, the available Tax free lump sum will be £50k If you choose to take the other £150k at £10k per year, you will pay no Tax on that £10k if you have no other income If you choose to take the entire fund, you will pay a higher rate of Tax under the PAYE scheme at marginal rates. As life changes occur, being in control of your own Scheme allows your choices to change to adapt to your circumstances. If your SSAS owns a Property, you can still receive rent even when you have retired.</w:t>
      </w:r>
    </w:p>
    <w:p w:rsidR="00A83F05" w:rsidRDefault="00A83F05">
      <w:pPr>
        <w:ind w:right="200"/>
        <w:jc w:val="both"/>
      </w:pPr>
    </w:p>
    <w:p w:rsidR="00A83F05" w:rsidRDefault="008E3C98">
      <w:pPr>
        <w:ind w:right="-380"/>
        <w:jc w:val="both"/>
      </w:pPr>
      <w:r>
        <w:rPr>
          <w:b/>
          <w:color w:val="808080"/>
          <w:sz w:val="48"/>
          <w:szCs w:val="48"/>
        </w:rPr>
        <w:t xml:space="preserve">5. </w:t>
      </w:r>
      <w:r w:rsidR="00722EF6">
        <w:rPr>
          <w:b/>
          <w:color w:val="808080"/>
          <w:sz w:val="48"/>
          <w:szCs w:val="48"/>
        </w:rPr>
        <w:t xml:space="preserve">      </w:t>
      </w:r>
      <w:r w:rsidR="00722EF6">
        <w:rPr>
          <w:b/>
          <w:color w:val="1FAFD6"/>
          <w:sz w:val="48"/>
          <w:szCs w:val="48"/>
        </w:rPr>
        <w:t>The beneficiaries of your pension</w:t>
      </w:r>
    </w:p>
    <w:p w:rsidR="00A83F05" w:rsidRDefault="00722EF6">
      <w:pPr>
        <w:ind w:left="1380" w:right="200"/>
        <w:jc w:val="both"/>
      </w:pPr>
      <w:r>
        <w:rPr>
          <w:b/>
          <w:color w:val="1FAFD6"/>
          <w:sz w:val="24"/>
          <w:szCs w:val="24"/>
        </w:rPr>
        <w:t>The distribution of the assets of the pension scheme on death (nominating the beneficiary)</w:t>
      </w:r>
    </w:p>
    <w:p w:rsidR="00A83F05" w:rsidRDefault="00A83F05">
      <w:pPr>
        <w:ind w:left="1380" w:right="200"/>
        <w:jc w:val="both"/>
      </w:pPr>
    </w:p>
    <w:p w:rsidR="00A83F05" w:rsidRDefault="00722EF6">
      <w:pPr>
        <w:spacing w:after="200"/>
        <w:ind w:left="1380" w:right="200"/>
        <w:jc w:val="both"/>
      </w:pPr>
      <w:r>
        <w:t>Pensions are emerging as an important IHT planning tool, thanks to the introduction of new death benefit rules on April 6. These allow the full value of your pension to be passed to a beneficiary tax-free, provided death occurs before the age of 75.</w:t>
      </w:r>
    </w:p>
    <w:p w:rsidR="00A83F05" w:rsidRDefault="00722EF6">
      <w:pPr>
        <w:spacing w:after="200"/>
        <w:ind w:left="1380" w:right="200"/>
        <w:jc w:val="both"/>
      </w:pPr>
      <w:r>
        <w:t>If death occurs after 75, the pension can still be bequeathed tax-free but the beneficiary will pay tax on income taken at their marginal rate. If the whole pension is taken as a lump sum, tax of up to 45pc could be applied. When the beneficiary dies, the money can again be passed on under the same tax treatment.</w:t>
      </w:r>
    </w:p>
    <w:p w:rsidR="00A83F05" w:rsidRDefault="00722EF6">
      <w:pPr>
        <w:spacing w:after="200"/>
        <w:ind w:left="1380" w:right="200"/>
        <w:jc w:val="both"/>
      </w:pPr>
      <w:r>
        <w:t>The debate on which assets to spend in your life has shifted, now it’s perfectly valid to use other assets before your pension because of the</w:t>
      </w:r>
      <w:r>
        <w:rPr>
          <w:color w:val="333333"/>
          <w:sz w:val="24"/>
          <w:szCs w:val="24"/>
        </w:rPr>
        <w:t xml:space="preserve"> </w:t>
      </w:r>
      <w:r>
        <w:t>abolition of the death tax.</w:t>
      </w:r>
    </w:p>
    <w:p w:rsidR="00A83F05" w:rsidRDefault="00722EF6">
      <w:pPr>
        <w:spacing w:after="200"/>
        <w:ind w:left="1380" w:right="200"/>
        <w:jc w:val="both"/>
      </w:pPr>
      <w: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A83F05" w:rsidRDefault="00722EF6">
      <w:pPr>
        <w:ind w:left="1380" w:right="200"/>
        <w:jc w:val="both"/>
      </w:pPr>
      <w:r>
        <w:t xml:space="preserve">Any lump sum payable from your Pension can be assessed and vulnerable to any of the following if thought is not given to the options available at the time. </w:t>
      </w:r>
    </w:p>
    <w:p w:rsidR="00A83F05" w:rsidRDefault="00722EF6">
      <w:pPr>
        <w:ind w:left="1380" w:right="200"/>
        <w:jc w:val="both"/>
      </w:pPr>
      <w:r>
        <w:t xml:space="preserve"> </w:t>
      </w:r>
    </w:p>
    <w:p w:rsidR="00A83F05" w:rsidRDefault="00722EF6">
      <w:pPr>
        <w:spacing w:after="200"/>
        <w:ind w:left="1380" w:right="200"/>
        <w:jc w:val="both"/>
      </w:pPr>
      <w:r>
        <w:t>Creditors or Bankruptcy If the surviving spouse/partner or a nominated Beneficiary under the new rules is subject to creditor claims.</w:t>
      </w:r>
    </w:p>
    <w:p w:rsidR="00A83F05" w:rsidRDefault="00722EF6">
      <w:pPr>
        <w:spacing w:after="200"/>
        <w:ind w:left="1395" w:right="200"/>
        <w:jc w:val="both"/>
      </w:pPr>
      <w:r>
        <w:t xml:space="preserve">Bankruptcy or Divorce, the fund is fully at risk where the Beneficiary takes the benefits as a lump sum. </w:t>
      </w:r>
    </w:p>
    <w:p w:rsidR="00A83F05" w:rsidRDefault="00722EF6">
      <w:pPr>
        <w:spacing w:after="200"/>
        <w:ind w:left="1395" w:right="200"/>
        <w:jc w:val="both"/>
      </w:pPr>
      <w:r>
        <w:lastRenderedPageBreak/>
        <w:t xml:space="preserve">Where a Nominated Beneficiary receives the benefit under the new Flexible Pension Legislation, the fund is also at risk if they Divorce or become Bankrupt. </w:t>
      </w:r>
    </w:p>
    <w:p w:rsidR="00A83F05" w:rsidRDefault="00722EF6">
      <w:pPr>
        <w:spacing w:after="200"/>
        <w:ind w:left="1395" w:right="200"/>
        <w:jc w:val="both"/>
      </w:pPr>
      <w:r>
        <w:t>Remarriage of Surviving Spouse On first death if all the assets become solely owned by or are available to the surviving spouse/partner, what happens if the surviving spouse/partner remarries? All or part of the</w:t>
      </w:r>
      <w:r>
        <w:rPr>
          <w:sz w:val="24"/>
          <w:szCs w:val="24"/>
        </w:rPr>
        <w:t xml:space="preserve"> </w:t>
      </w:r>
      <w:r>
        <w:t xml:space="preserve">pension fund could be lost to your children upon the spouse’s/partner’s subsequent Death or Divorce. </w:t>
      </w:r>
    </w:p>
    <w:p w:rsidR="00A83F05" w:rsidRDefault="00722EF6">
      <w:pPr>
        <w:spacing w:after="200"/>
        <w:ind w:left="1395" w:right="200"/>
        <w:jc w:val="both"/>
      </w:pPr>
      <w:r>
        <w:t>Care Costs 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p>
    <w:p w:rsidR="00CA44FE" w:rsidRDefault="00CA44FE">
      <w:pPr>
        <w:spacing w:after="200"/>
        <w:ind w:left="1395" w:right="200"/>
        <w:jc w:val="both"/>
      </w:pPr>
    </w:p>
    <w:p w:rsidR="00A83F05" w:rsidRDefault="00722EF6">
      <w:pPr>
        <w:spacing w:after="200"/>
        <w:ind w:left="1395" w:right="200"/>
        <w:jc w:val="both"/>
      </w:pPr>
      <w:r>
        <w:t xml:space="preserve">One concern here is that unless specifically Nominated, the Beneficiary cannot gain all the Tax free benefits. Even if that Beneficiary has decided not to take benefits, could their right to take all or any part of the Pension fund be assessed as if their asset or right to income? By not taking these benefits could they be challenged as depriving their estate and Creditors? </w:t>
      </w:r>
    </w:p>
    <w:p w:rsidR="00A83F05" w:rsidRDefault="00722EF6">
      <w:pPr>
        <w:ind w:left="1380" w:right="200"/>
        <w:jc w:val="both"/>
      </w:pPr>
      <w:r>
        <w:t xml:space="preserve">The Solution is a family pension death benefit trust where the nominations are contingent on the Trustees accepting or refusing to accept the funds.  We would guide you on how to Appoint Trustees to the Family Pension Death Benefits Trust who can then make the decision to accept the pension funds on death or optimise the flexibility and the tax benefits of the new </w:t>
      </w:r>
      <w:proofErr w:type="gramStart"/>
      <w:r>
        <w:t>pensions</w:t>
      </w:r>
      <w:proofErr w:type="gramEnd"/>
      <w:r>
        <w:t xml:space="preserve"> freedom legislation.  This may involve keeping it within the pension fund which allows you to hedge your bets.   Ultimately it may be difficult to predict the best route to follow as the disposition and character of beneficiaries can change. In such cases, it may be better to "hedge one's bets" by the member establishing the family death benefit trust.</w:t>
      </w:r>
    </w:p>
    <w:p w:rsidR="00CA44FE" w:rsidRDefault="00CA44FE">
      <w:pPr>
        <w:ind w:right="4280"/>
        <w:jc w:val="both"/>
      </w:pPr>
    </w:p>
    <w:p w:rsidR="00A83F05" w:rsidRDefault="008E3C98">
      <w:pPr>
        <w:ind w:right="4280"/>
        <w:jc w:val="both"/>
      </w:pPr>
      <w:r>
        <w:rPr>
          <w:b/>
          <w:color w:val="808080"/>
          <w:sz w:val="48"/>
          <w:szCs w:val="48"/>
        </w:rPr>
        <w:t>6</w:t>
      </w:r>
      <w:r w:rsidR="00722EF6">
        <w:rPr>
          <w:b/>
          <w:color w:val="808080"/>
          <w:sz w:val="48"/>
          <w:szCs w:val="48"/>
        </w:rPr>
        <w:t xml:space="preserve">.       </w:t>
      </w:r>
      <w:r w:rsidR="00722EF6">
        <w:rPr>
          <w:b/>
          <w:color w:val="1FAFD6"/>
          <w:sz w:val="48"/>
          <w:szCs w:val="48"/>
        </w:rPr>
        <w:t>New Services</w:t>
      </w:r>
    </w:p>
    <w:p w:rsidR="00A83F05" w:rsidRDefault="00722EF6">
      <w:pPr>
        <w:spacing w:line="266" w:lineRule="auto"/>
        <w:ind w:left="1380" w:right="120"/>
        <w:jc w:val="both"/>
      </w:pPr>
      <w:r>
        <w:rPr>
          <w:sz w:val="20"/>
          <w:szCs w:val="20"/>
        </w:rPr>
        <w:t xml:space="preserve"> </w:t>
      </w:r>
    </w:p>
    <w:p w:rsidR="00A83F05" w:rsidRDefault="00722EF6">
      <w:pPr>
        <w:ind w:left="1380" w:right="200"/>
        <w:jc w:val="both"/>
      </w:pPr>
      <w:r>
        <w:rPr>
          <w:b/>
          <w:color w:val="1FAFD6"/>
          <w:sz w:val="24"/>
          <w:szCs w:val="24"/>
        </w:rPr>
        <w:t>Protection Practitioner</w:t>
      </w:r>
    </w:p>
    <w:p w:rsidR="00A83F05" w:rsidRDefault="00A83F05">
      <w:pPr>
        <w:ind w:left="1380" w:right="200"/>
        <w:jc w:val="both"/>
      </w:pPr>
    </w:p>
    <w:p w:rsidR="00A83F05" w:rsidRDefault="00722EF6">
      <w:pPr>
        <w:ind w:left="1380" w:right="200"/>
        <w:jc w:val="both"/>
      </w:pPr>
      <w:r>
        <w:t>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pensions now plays an important role in overall IHT planning with your business. For example, a trust working in tandem with your pension scheme can ensure succession planning of your personal pension and business assets tax efficiently.</w:t>
      </w:r>
    </w:p>
    <w:p w:rsidR="00A83F05" w:rsidRDefault="00722EF6">
      <w:pPr>
        <w:ind w:left="1380" w:right="200"/>
        <w:jc w:val="both"/>
      </w:pPr>
      <w:r>
        <w:t xml:space="preserve"> </w:t>
      </w:r>
    </w:p>
    <w:p w:rsidR="00A83F05" w:rsidRDefault="00722EF6">
      <w:pPr>
        <w:ind w:left="1380" w:right="200"/>
        <w:jc w:val="both"/>
      </w:pPr>
      <w:r>
        <w:t xml:space="preserve">Our launch of the “protection practitioner” service is geared towards delivering trust planning options for you as the member of the SSAS and your business.  To contact a consultant, please visit our website:  </w:t>
      </w:r>
      <w:hyperlink r:id="rId9">
        <w:r>
          <w:rPr>
            <w:color w:val="1155CC"/>
            <w:u w:val="single"/>
          </w:rPr>
          <w:t>www.protectionpractitioner.com</w:t>
        </w:r>
      </w:hyperlink>
      <w:r>
        <w:t xml:space="preserve"> </w:t>
      </w:r>
    </w:p>
    <w:p w:rsidR="00A83F05" w:rsidRDefault="00722EF6">
      <w:pPr>
        <w:ind w:left="1380" w:right="200"/>
        <w:jc w:val="both"/>
      </w:pPr>
      <w:r>
        <w:lastRenderedPageBreak/>
        <w:t xml:space="preserve"> </w:t>
      </w:r>
    </w:p>
    <w:p w:rsidR="00A83F05" w:rsidRDefault="008E3C98">
      <w:pPr>
        <w:ind w:right="4280"/>
        <w:jc w:val="both"/>
      </w:pPr>
      <w:r>
        <w:rPr>
          <w:b/>
          <w:color w:val="808080"/>
          <w:sz w:val="48"/>
          <w:szCs w:val="48"/>
        </w:rPr>
        <w:t>7</w:t>
      </w:r>
      <w:r w:rsidR="00722EF6">
        <w:rPr>
          <w:b/>
          <w:color w:val="808080"/>
          <w:sz w:val="48"/>
          <w:szCs w:val="48"/>
        </w:rPr>
        <w:t xml:space="preserve">.       </w:t>
      </w:r>
      <w:r w:rsidR="00722EF6">
        <w:rPr>
          <w:b/>
          <w:color w:val="1FAFD6"/>
          <w:sz w:val="48"/>
          <w:szCs w:val="48"/>
        </w:rPr>
        <w:t xml:space="preserve">Changes </w:t>
      </w:r>
    </w:p>
    <w:p w:rsidR="00A83F05" w:rsidRDefault="00722EF6">
      <w:pPr>
        <w:spacing w:line="266" w:lineRule="auto"/>
        <w:ind w:left="1380" w:right="120"/>
        <w:jc w:val="both"/>
      </w:pPr>
      <w:r>
        <w:rPr>
          <w:sz w:val="20"/>
          <w:szCs w:val="20"/>
        </w:rPr>
        <w:t xml:space="preserve"> </w:t>
      </w:r>
    </w:p>
    <w:p w:rsidR="00A83F05" w:rsidRDefault="00722EF6">
      <w:pPr>
        <w:ind w:left="1380" w:right="200"/>
        <w:jc w:val="both"/>
      </w:pPr>
      <w:r>
        <w:rPr>
          <w:b/>
          <w:color w:val="1FAFD6"/>
          <w:sz w:val="24"/>
          <w:szCs w:val="24"/>
        </w:rPr>
        <w:t>Changes to our Terms of Business</w:t>
      </w:r>
    </w:p>
    <w:p w:rsidR="00A83F05" w:rsidRDefault="00A83F05">
      <w:pPr>
        <w:ind w:left="1380" w:right="200"/>
        <w:jc w:val="both"/>
      </w:pPr>
    </w:p>
    <w:p w:rsidR="00A83F05" w:rsidRDefault="00722EF6">
      <w:pPr>
        <w:ind w:left="1380" w:right="200"/>
        <w:jc w:val="both"/>
      </w:pPr>
      <w:r>
        <w:t>Pension Practitioner now incorporates a range of other affiliated business partners. Recognising their growth we will be opening an administration office in Gibraltar to also cater for the growing number of clients who have decided to either retire or to relocate some aspects of their business beyond the UK.</w:t>
      </w:r>
    </w:p>
    <w:p w:rsidR="00A83F05" w:rsidRDefault="00A83F05">
      <w:pPr>
        <w:ind w:left="1380" w:right="200"/>
        <w:jc w:val="both"/>
      </w:pPr>
    </w:p>
    <w:p w:rsidR="00A83F05" w:rsidRDefault="00722EF6">
      <w:pPr>
        <w:ind w:left="1380" w:right="200"/>
        <w:jc w:val="both"/>
      </w:pPr>
      <w:r>
        <w:t>You will therefore see some changes to our Terms of Business, specifically to our payments and accountancy functions, which will be managed and administered from Gibraltar.</w:t>
      </w:r>
    </w:p>
    <w:sectPr w:rsidR="00A83F05" w:rsidSect="00722EF6">
      <w:footerReference w:type="default" r:id="rId10"/>
      <w:pgSz w:w="11909" w:h="16834"/>
      <w:pgMar w:top="1440" w:right="1440" w:bottom="1440" w:left="1440" w:header="720" w:footer="720" w:gutter="0"/>
      <w:pgNumType w:start="1"/>
      <w:cols w:space="720" w:equalWidth="0">
        <w:col w:w="936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519" w:rsidRDefault="00722EF6">
      <w:pPr>
        <w:spacing w:line="240" w:lineRule="auto"/>
      </w:pPr>
      <w:r>
        <w:separator/>
      </w:r>
    </w:p>
  </w:endnote>
  <w:endnote w:type="continuationSeparator" w:id="0">
    <w:p w:rsidR="00005519" w:rsidRDefault="00722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F05" w:rsidRDefault="00722EF6">
    <w:r>
      <w:rPr>
        <w:noProof/>
      </w:rPr>
      <w:drawing>
        <wp:inline distT="114300" distB="114300" distL="114300" distR="114300">
          <wp:extent cx="5734050" cy="215900"/>
          <wp:effectExtent l="0" t="0" r="0" b="0"/>
          <wp:docPr id="5" name="image09.png" descr="footer PP.png"/>
          <wp:cNvGraphicFramePr/>
          <a:graphic xmlns:a="http://schemas.openxmlformats.org/drawingml/2006/main">
            <a:graphicData uri="http://schemas.openxmlformats.org/drawingml/2006/picture">
              <pic:pic xmlns:pic="http://schemas.openxmlformats.org/drawingml/2006/picture">
                <pic:nvPicPr>
                  <pic:cNvPr id="0" name="image09.png" descr="footer PP.png"/>
                  <pic:cNvPicPr preferRelativeResize="0"/>
                </pic:nvPicPr>
                <pic:blipFill>
                  <a:blip r:embed="rId1"/>
                  <a:srcRect/>
                  <a:stretch>
                    <a:fillRect/>
                  </a:stretch>
                </pic:blipFill>
                <pic:spPr>
                  <a:xfrm>
                    <a:off x="0" y="0"/>
                    <a:ext cx="5734050" cy="21590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519" w:rsidRDefault="00722EF6">
      <w:pPr>
        <w:spacing w:line="240" w:lineRule="auto"/>
      </w:pPr>
      <w:r>
        <w:separator/>
      </w:r>
    </w:p>
  </w:footnote>
  <w:footnote w:type="continuationSeparator" w:id="0">
    <w:p w:rsidR="00005519" w:rsidRDefault="00722E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05"/>
    <w:rsid w:val="00005519"/>
    <w:rsid w:val="000A1F40"/>
    <w:rsid w:val="001A429D"/>
    <w:rsid w:val="0036528B"/>
    <w:rsid w:val="00381A7F"/>
    <w:rsid w:val="00382E0B"/>
    <w:rsid w:val="00384407"/>
    <w:rsid w:val="0040362B"/>
    <w:rsid w:val="00557F38"/>
    <w:rsid w:val="00713A59"/>
    <w:rsid w:val="00722EF6"/>
    <w:rsid w:val="0080783B"/>
    <w:rsid w:val="008E3C98"/>
    <w:rsid w:val="00A83F05"/>
    <w:rsid w:val="00B06CA3"/>
    <w:rsid w:val="00B11589"/>
    <w:rsid w:val="00CA44FE"/>
    <w:rsid w:val="00E03577"/>
    <w:rsid w:val="00E2678E"/>
    <w:rsid w:val="00E4794D"/>
    <w:rsid w:val="00EF53BC"/>
    <w:rsid w:val="00F56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3C50C-588F-4A56-998F-4987538C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722EF6"/>
    <w:pPr>
      <w:tabs>
        <w:tab w:val="center" w:pos="4513"/>
        <w:tab w:val="right" w:pos="9026"/>
      </w:tabs>
      <w:spacing w:line="240" w:lineRule="auto"/>
    </w:pPr>
  </w:style>
  <w:style w:type="character" w:customStyle="1" w:styleId="HeaderChar">
    <w:name w:val="Header Char"/>
    <w:basedOn w:val="DefaultParagraphFont"/>
    <w:link w:val="Header"/>
    <w:uiPriority w:val="99"/>
    <w:rsid w:val="00722EF6"/>
  </w:style>
  <w:style w:type="paragraph" w:styleId="Footer">
    <w:name w:val="footer"/>
    <w:basedOn w:val="Normal"/>
    <w:link w:val="FooterChar"/>
    <w:uiPriority w:val="99"/>
    <w:unhideWhenUsed/>
    <w:rsid w:val="00722EF6"/>
    <w:pPr>
      <w:tabs>
        <w:tab w:val="center" w:pos="4513"/>
        <w:tab w:val="right" w:pos="9026"/>
      </w:tabs>
      <w:spacing w:line="240" w:lineRule="auto"/>
    </w:pPr>
  </w:style>
  <w:style w:type="character" w:customStyle="1" w:styleId="FooterChar">
    <w:name w:val="Footer Char"/>
    <w:basedOn w:val="DefaultParagraphFont"/>
    <w:link w:val="Footer"/>
    <w:uiPriority w:val="99"/>
    <w:rsid w:val="00722EF6"/>
  </w:style>
  <w:style w:type="character" w:styleId="Hyperlink">
    <w:name w:val="Hyperlink"/>
    <w:basedOn w:val="DefaultParagraphFont"/>
    <w:uiPriority w:val="99"/>
    <w:unhideWhenUsed/>
    <w:rsid w:val="00EF53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8037">
      <w:bodyDiv w:val="1"/>
      <w:marLeft w:val="0"/>
      <w:marRight w:val="0"/>
      <w:marTop w:val="0"/>
      <w:marBottom w:val="0"/>
      <w:divBdr>
        <w:top w:val="none" w:sz="0" w:space="0" w:color="auto"/>
        <w:left w:val="none" w:sz="0" w:space="0" w:color="auto"/>
        <w:bottom w:val="none" w:sz="0" w:space="0" w:color="auto"/>
        <w:right w:val="none" w:sz="0" w:space="0" w:color="auto"/>
      </w:divBdr>
      <w:divsChild>
        <w:div w:id="951667941">
          <w:marLeft w:val="0"/>
          <w:marRight w:val="0"/>
          <w:marTop w:val="0"/>
          <w:marBottom w:val="0"/>
          <w:divBdr>
            <w:top w:val="single" w:sz="6" w:space="0" w:color="009966"/>
            <w:left w:val="none" w:sz="0" w:space="0" w:color="auto"/>
            <w:bottom w:val="single" w:sz="6" w:space="0" w:color="009966"/>
            <w:right w:val="none" w:sz="0" w:space="0" w:color="auto"/>
          </w:divBdr>
        </w:div>
        <w:div w:id="1425346300">
          <w:marLeft w:val="0"/>
          <w:marRight w:val="0"/>
          <w:marTop w:val="0"/>
          <w:marBottom w:val="0"/>
          <w:divBdr>
            <w:top w:val="single" w:sz="6" w:space="0" w:color="009966"/>
            <w:left w:val="none" w:sz="0" w:space="0" w:color="auto"/>
            <w:bottom w:val="single" w:sz="6" w:space="0" w:color="009966"/>
            <w:right w:val="none" w:sz="0" w:space="0" w:color="auto"/>
          </w:divBdr>
        </w:div>
        <w:div w:id="745998624">
          <w:marLeft w:val="0"/>
          <w:marRight w:val="0"/>
          <w:marTop w:val="0"/>
          <w:marBottom w:val="0"/>
          <w:divBdr>
            <w:top w:val="single" w:sz="6" w:space="0" w:color="009966"/>
            <w:left w:val="none" w:sz="0" w:space="0" w:color="auto"/>
            <w:bottom w:val="single" w:sz="6" w:space="0" w:color="009966"/>
            <w:right w:val="none" w:sz="0" w:space="0" w:color="auto"/>
          </w:divBdr>
        </w:div>
        <w:div w:id="374083837">
          <w:marLeft w:val="0"/>
          <w:marRight w:val="0"/>
          <w:marTop w:val="0"/>
          <w:marBottom w:val="0"/>
          <w:divBdr>
            <w:top w:val="single" w:sz="6" w:space="0" w:color="009966"/>
            <w:left w:val="none" w:sz="0" w:space="0" w:color="auto"/>
            <w:bottom w:val="single" w:sz="6" w:space="0" w:color="009966"/>
            <w:right w:val="none" w:sz="0" w:space="0" w:color="auto"/>
          </w:divBdr>
        </w:div>
        <w:div w:id="801845953">
          <w:marLeft w:val="0"/>
          <w:marRight w:val="0"/>
          <w:marTop w:val="0"/>
          <w:marBottom w:val="0"/>
          <w:divBdr>
            <w:top w:val="single" w:sz="6" w:space="0" w:color="009966"/>
            <w:left w:val="none" w:sz="0" w:space="0" w:color="auto"/>
            <w:bottom w:val="single" w:sz="6" w:space="0" w:color="009966"/>
            <w:right w:val="none" w:sz="0" w:space="0" w:color="auto"/>
          </w:divBdr>
        </w:div>
      </w:divsChild>
    </w:div>
    <w:div w:id="98336303">
      <w:bodyDiv w:val="1"/>
      <w:marLeft w:val="0"/>
      <w:marRight w:val="0"/>
      <w:marTop w:val="0"/>
      <w:marBottom w:val="0"/>
      <w:divBdr>
        <w:top w:val="none" w:sz="0" w:space="0" w:color="auto"/>
        <w:left w:val="none" w:sz="0" w:space="0" w:color="auto"/>
        <w:bottom w:val="none" w:sz="0" w:space="0" w:color="auto"/>
        <w:right w:val="none" w:sz="0" w:space="0" w:color="auto"/>
      </w:divBdr>
      <w:divsChild>
        <w:div w:id="1868831057">
          <w:marLeft w:val="0"/>
          <w:marRight w:val="0"/>
          <w:marTop w:val="0"/>
          <w:marBottom w:val="0"/>
          <w:divBdr>
            <w:top w:val="single" w:sz="6" w:space="0" w:color="009966"/>
            <w:left w:val="none" w:sz="0" w:space="0" w:color="auto"/>
            <w:bottom w:val="single" w:sz="6" w:space="0" w:color="009966"/>
            <w:right w:val="none" w:sz="0" w:space="0" w:color="auto"/>
          </w:divBdr>
        </w:div>
        <w:div w:id="545144687">
          <w:marLeft w:val="0"/>
          <w:marRight w:val="0"/>
          <w:marTop w:val="0"/>
          <w:marBottom w:val="0"/>
          <w:divBdr>
            <w:top w:val="single" w:sz="6" w:space="0" w:color="009966"/>
            <w:left w:val="none" w:sz="0" w:space="0" w:color="auto"/>
            <w:bottom w:val="single" w:sz="6" w:space="0" w:color="009966"/>
            <w:right w:val="none" w:sz="0" w:space="0" w:color="auto"/>
          </w:divBdr>
        </w:div>
      </w:divsChild>
    </w:div>
    <w:div w:id="480314864">
      <w:bodyDiv w:val="1"/>
      <w:marLeft w:val="0"/>
      <w:marRight w:val="0"/>
      <w:marTop w:val="0"/>
      <w:marBottom w:val="0"/>
      <w:divBdr>
        <w:top w:val="none" w:sz="0" w:space="0" w:color="auto"/>
        <w:left w:val="none" w:sz="0" w:space="0" w:color="auto"/>
        <w:bottom w:val="none" w:sz="0" w:space="0" w:color="auto"/>
        <w:right w:val="none" w:sz="0" w:space="0" w:color="auto"/>
      </w:divBdr>
      <w:divsChild>
        <w:div w:id="1861355873">
          <w:marLeft w:val="0"/>
          <w:marRight w:val="0"/>
          <w:marTop w:val="0"/>
          <w:marBottom w:val="0"/>
          <w:divBdr>
            <w:top w:val="single" w:sz="6" w:space="0" w:color="009966"/>
            <w:left w:val="none" w:sz="0" w:space="0" w:color="auto"/>
            <w:bottom w:val="single" w:sz="6" w:space="0" w:color="009966"/>
            <w:right w:val="none" w:sz="0" w:space="0" w:color="auto"/>
          </w:divBdr>
        </w:div>
        <w:div w:id="715664321">
          <w:marLeft w:val="0"/>
          <w:marRight w:val="0"/>
          <w:marTop w:val="0"/>
          <w:marBottom w:val="0"/>
          <w:divBdr>
            <w:top w:val="single" w:sz="6" w:space="0" w:color="009966"/>
            <w:left w:val="none" w:sz="0" w:space="0" w:color="auto"/>
            <w:bottom w:val="single" w:sz="6" w:space="0" w:color="009966"/>
            <w:right w:val="none" w:sz="0" w:space="0" w:color="auto"/>
          </w:divBdr>
        </w:div>
        <w:div w:id="1869297154">
          <w:marLeft w:val="0"/>
          <w:marRight w:val="0"/>
          <w:marTop w:val="0"/>
          <w:marBottom w:val="0"/>
          <w:divBdr>
            <w:top w:val="single" w:sz="6" w:space="0" w:color="009966"/>
            <w:left w:val="none" w:sz="0" w:space="0" w:color="auto"/>
            <w:bottom w:val="single" w:sz="6" w:space="0" w:color="009966"/>
            <w:right w:val="none" w:sz="0" w:space="0" w:color="auto"/>
          </w:divBdr>
        </w:div>
        <w:div w:id="1727220667">
          <w:marLeft w:val="0"/>
          <w:marRight w:val="0"/>
          <w:marTop w:val="0"/>
          <w:marBottom w:val="0"/>
          <w:divBdr>
            <w:top w:val="single" w:sz="6" w:space="0" w:color="009966"/>
            <w:left w:val="none" w:sz="0" w:space="0" w:color="auto"/>
            <w:bottom w:val="single" w:sz="6" w:space="0" w:color="009966"/>
            <w:right w:val="none" w:sz="0" w:space="0" w:color="auto"/>
          </w:divBdr>
        </w:div>
      </w:divsChild>
    </w:div>
    <w:div w:id="558790467">
      <w:bodyDiv w:val="1"/>
      <w:marLeft w:val="0"/>
      <w:marRight w:val="0"/>
      <w:marTop w:val="0"/>
      <w:marBottom w:val="0"/>
      <w:divBdr>
        <w:top w:val="none" w:sz="0" w:space="0" w:color="auto"/>
        <w:left w:val="none" w:sz="0" w:space="0" w:color="auto"/>
        <w:bottom w:val="none" w:sz="0" w:space="0" w:color="auto"/>
        <w:right w:val="none" w:sz="0" w:space="0" w:color="auto"/>
      </w:divBdr>
      <w:divsChild>
        <w:div w:id="1649361257">
          <w:marLeft w:val="0"/>
          <w:marRight w:val="0"/>
          <w:marTop w:val="0"/>
          <w:marBottom w:val="0"/>
          <w:divBdr>
            <w:top w:val="single" w:sz="6" w:space="0" w:color="009966"/>
            <w:left w:val="none" w:sz="0" w:space="0" w:color="auto"/>
            <w:bottom w:val="single" w:sz="6" w:space="0" w:color="009966"/>
            <w:right w:val="none" w:sz="0" w:space="0" w:color="auto"/>
          </w:divBdr>
        </w:div>
        <w:div w:id="1582448107">
          <w:marLeft w:val="0"/>
          <w:marRight w:val="0"/>
          <w:marTop w:val="0"/>
          <w:marBottom w:val="0"/>
          <w:divBdr>
            <w:top w:val="single" w:sz="6" w:space="0" w:color="009966"/>
            <w:left w:val="none" w:sz="0" w:space="0" w:color="auto"/>
            <w:bottom w:val="single" w:sz="6" w:space="0" w:color="009966"/>
            <w:right w:val="none" w:sz="0" w:space="0" w:color="auto"/>
          </w:divBdr>
        </w:div>
      </w:divsChild>
    </w:div>
    <w:div w:id="599070736">
      <w:bodyDiv w:val="1"/>
      <w:marLeft w:val="0"/>
      <w:marRight w:val="0"/>
      <w:marTop w:val="0"/>
      <w:marBottom w:val="0"/>
      <w:divBdr>
        <w:top w:val="none" w:sz="0" w:space="0" w:color="auto"/>
        <w:left w:val="none" w:sz="0" w:space="0" w:color="auto"/>
        <w:bottom w:val="none" w:sz="0" w:space="0" w:color="auto"/>
        <w:right w:val="none" w:sz="0" w:space="0" w:color="auto"/>
      </w:divBdr>
      <w:divsChild>
        <w:div w:id="337193793">
          <w:marLeft w:val="0"/>
          <w:marRight w:val="0"/>
          <w:marTop w:val="0"/>
          <w:marBottom w:val="0"/>
          <w:divBdr>
            <w:top w:val="single" w:sz="6" w:space="0" w:color="009966"/>
            <w:left w:val="none" w:sz="0" w:space="0" w:color="auto"/>
            <w:bottom w:val="single" w:sz="6" w:space="0" w:color="009966"/>
            <w:right w:val="none" w:sz="0" w:space="0" w:color="auto"/>
          </w:divBdr>
        </w:div>
        <w:div w:id="1788968506">
          <w:marLeft w:val="0"/>
          <w:marRight w:val="0"/>
          <w:marTop w:val="0"/>
          <w:marBottom w:val="0"/>
          <w:divBdr>
            <w:top w:val="single" w:sz="6" w:space="0" w:color="009966"/>
            <w:left w:val="none" w:sz="0" w:space="0" w:color="auto"/>
            <w:bottom w:val="single" w:sz="6" w:space="0" w:color="009966"/>
            <w:right w:val="none" w:sz="0" w:space="0" w:color="auto"/>
          </w:divBdr>
        </w:div>
      </w:divsChild>
    </w:div>
    <w:div w:id="760104689">
      <w:bodyDiv w:val="1"/>
      <w:marLeft w:val="0"/>
      <w:marRight w:val="0"/>
      <w:marTop w:val="0"/>
      <w:marBottom w:val="0"/>
      <w:divBdr>
        <w:top w:val="none" w:sz="0" w:space="0" w:color="auto"/>
        <w:left w:val="none" w:sz="0" w:space="0" w:color="auto"/>
        <w:bottom w:val="none" w:sz="0" w:space="0" w:color="auto"/>
        <w:right w:val="none" w:sz="0" w:space="0" w:color="auto"/>
      </w:divBdr>
      <w:divsChild>
        <w:div w:id="1059480366">
          <w:marLeft w:val="0"/>
          <w:marRight w:val="0"/>
          <w:marTop w:val="0"/>
          <w:marBottom w:val="0"/>
          <w:divBdr>
            <w:top w:val="single" w:sz="6" w:space="0" w:color="009966"/>
            <w:left w:val="none" w:sz="0" w:space="0" w:color="auto"/>
            <w:bottom w:val="single" w:sz="6" w:space="0" w:color="009966"/>
            <w:right w:val="none" w:sz="0" w:space="0" w:color="auto"/>
          </w:divBdr>
        </w:div>
        <w:div w:id="1008368769">
          <w:marLeft w:val="0"/>
          <w:marRight w:val="0"/>
          <w:marTop w:val="0"/>
          <w:marBottom w:val="0"/>
          <w:divBdr>
            <w:top w:val="single" w:sz="6" w:space="0" w:color="009966"/>
            <w:left w:val="none" w:sz="0" w:space="0" w:color="auto"/>
            <w:bottom w:val="single" w:sz="6" w:space="0" w:color="009966"/>
            <w:right w:val="none" w:sz="0" w:space="0" w:color="auto"/>
          </w:divBdr>
        </w:div>
      </w:divsChild>
    </w:div>
    <w:div w:id="771634520">
      <w:bodyDiv w:val="1"/>
      <w:marLeft w:val="0"/>
      <w:marRight w:val="0"/>
      <w:marTop w:val="0"/>
      <w:marBottom w:val="0"/>
      <w:divBdr>
        <w:top w:val="none" w:sz="0" w:space="0" w:color="auto"/>
        <w:left w:val="none" w:sz="0" w:space="0" w:color="auto"/>
        <w:bottom w:val="none" w:sz="0" w:space="0" w:color="auto"/>
        <w:right w:val="none" w:sz="0" w:space="0" w:color="auto"/>
      </w:divBdr>
      <w:divsChild>
        <w:div w:id="44068464">
          <w:marLeft w:val="0"/>
          <w:marRight w:val="0"/>
          <w:marTop w:val="0"/>
          <w:marBottom w:val="0"/>
          <w:divBdr>
            <w:top w:val="single" w:sz="6" w:space="0" w:color="009966"/>
            <w:left w:val="none" w:sz="0" w:space="0" w:color="auto"/>
            <w:bottom w:val="single" w:sz="6" w:space="0" w:color="009966"/>
            <w:right w:val="none" w:sz="0" w:space="0" w:color="auto"/>
          </w:divBdr>
        </w:div>
        <w:div w:id="1384718509">
          <w:marLeft w:val="0"/>
          <w:marRight w:val="0"/>
          <w:marTop w:val="0"/>
          <w:marBottom w:val="0"/>
          <w:divBdr>
            <w:top w:val="single" w:sz="6" w:space="0" w:color="009966"/>
            <w:left w:val="none" w:sz="0" w:space="0" w:color="auto"/>
            <w:bottom w:val="single" w:sz="6" w:space="0" w:color="009966"/>
            <w:right w:val="none" w:sz="0" w:space="0" w:color="auto"/>
          </w:divBdr>
        </w:div>
      </w:divsChild>
    </w:div>
    <w:div w:id="1161965467">
      <w:bodyDiv w:val="1"/>
      <w:marLeft w:val="0"/>
      <w:marRight w:val="0"/>
      <w:marTop w:val="0"/>
      <w:marBottom w:val="0"/>
      <w:divBdr>
        <w:top w:val="none" w:sz="0" w:space="0" w:color="auto"/>
        <w:left w:val="none" w:sz="0" w:space="0" w:color="auto"/>
        <w:bottom w:val="none" w:sz="0" w:space="0" w:color="auto"/>
        <w:right w:val="none" w:sz="0" w:space="0" w:color="auto"/>
      </w:divBdr>
      <w:divsChild>
        <w:div w:id="1543862979">
          <w:marLeft w:val="0"/>
          <w:marRight w:val="0"/>
          <w:marTop w:val="0"/>
          <w:marBottom w:val="0"/>
          <w:divBdr>
            <w:top w:val="single" w:sz="6" w:space="0" w:color="009966"/>
            <w:left w:val="none" w:sz="0" w:space="0" w:color="auto"/>
            <w:bottom w:val="single" w:sz="6" w:space="0" w:color="009966"/>
            <w:right w:val="none" w:sz="0" w:space="0" w:color="auto"/>
          </w:divBdr>
        </w:div>
        <w:div w:id="1141578960">
          <w:marLeft w:val="0"/>
          <w:marRight w:val="0"/>
          <w:marTop w:val="0"/>
          <w:marBottom w:val="0"/>
          <w:divBdr>
            <w:top w:val="single" w:sz="6" w:space="0" w:color="009966"/>
            <w:left w:val="none" w:sz="0" w:space="0" w:color="auto"/>
            <w:bottom w:val="single" w:sz="6" w:space="0" w:color="009966"/>
            <w:right w:val="none" w:sz="0" w:space="0" w:color="auto"/>
          </w:divBdr>
        </w:div>
        <w:div w:id="172258128">
          <w:marLeft w:val="0"/>
          <w:marRight w:val="0"/>
          <w:marTop w:val="0"/>
          <w:marBottom w:val="0"/>
          <w:divBdr>
            <w:top w:val="single" w:sz="6" w:space="0" w:color="009966"/>
            <w:left w:val="none" w:sz="0" w:space="0" w:color="auto"/>
            <w:bottom w:val="single" w:sz="6" w:space="0" w:color="009966"/>
            <w:right w:val="none" w:sz="0" w:space="0" w:color="auto"/>
          </w:divBdr>
        </w:div>
        <w:div w:id="2102991985">
          <w:marLeft w:val="0"/>
          <w:marRight w:val="0"/>
          <w:marTop w:val="0"/>
          <w:marBottom w:val="0"/>
          <w:divBdr>
            <w:top w:val="single" w:sz="6" w:space="0" w:color="009966"/>
            <w:left w:val="none" w:sz="0" w:space="0" w:color="auto"/>
            <w:bottom w:val="single" w:sz="6" w:space="0" w:color="009966"/>
            <w:right w:val="none" w:sz="0" w:space="0" w:color="auto"/>
          </w:divBdr>
        </w:div>
        <w:div w:id="553781828">
          <w:marLeft w:val="0"/>
          <w:marRight w:val="0"/>
          <w:marTop w:val="0"/>
          <w:marBottom w:val="0"/>
          <w:divBdr>
            <w:top w:val="single" w:sz="6" w:space="0" w:color="009966"/>
            <w:left w:val="none" w:sz="0" w:space="0" w:color="auto"/>
            <w:bottom w:val="single" w:sz="6" w:space="0" w:color="009966"/>
            <w:right w:val="none" w:sz="0" w:space="0" w:color="auto"/>
          </w:divBdr>
        </w:div>
      </w:divsChild>
    </w:div>
    <w:div w:id="1451628372">
      <w:bodyDiv w:val="1"/>
      <w:marLeft w:val="0"/>
      <w:marRight w:val="0"/>
      <w:marTop w:val="0"/>
      <w:marBottom w:val="0"/>
      <w:divBdr>
        <w:top w:val="none" w:sz="0" w:space="0" w:color="auto"/>
        <w:left w:val="none" w:sz="0" w:space="0" w:color="auto"/>
        <w:bottom w:val="none" w:sz="0" w:space="0" w:color="auto"/>
        <w:right w:val="none" w:sz="0" w:space="0" w:color="auto"/>
      </w:divBdr>
      <w:divsChild>
        <w:div w:id="701322601">
          <w:marLeft w:val="0"/>
          <w:marRight w:val="0"/>
          <w:marTop w:val="0"/>
          <w:marBottom w:val="0"/>
          <w:divBdr>
            <w:top w:val="single" w:sz="6" w:space="0" w:color="009966"/>
            <w:left w:val="none" w:sz="0" w:space="0" w:color="auto"/>
            <w:bottom w:val="single" w:sz="6" w:space="0" w:color="009966"/>
            <w:right w:val="none" w:sz="0" w:space="0" w:color="auto"/>
          </w:divBdr>
        </w:div>
        <w:div w:id="1471240301">
          <w:marLeft w:val="0"/>
          <w:marRight w:val="0"/>
          <w:marTop w:val="0"/>
          <w:marBottom w:val="0"/>
          <w:divBdr>
            <w:top w:val="single" w:sz="6" w:space="0" w:color="009966"/>
            <w:left w:val="none" w:sz="0" w:space="0" w:color="auto"/>
            <w:bottom w:val="single" w:sz="6" w:space="0" w:color="009966"/>
            <w:right w:val="none" w:sz="0" w:space="0" w:color="auto"/>
          </w:divBdr>
        </w:div>
        <w:div w:id="1170295888">
          <w:marLeft w:val="0"/>
          <w:marRight w:val="0"/>
          <w:marTop w:val="0"/>
          <w:marBottom w:val="0"/>
          <w:divBdr>
            <w:top w:val="single" w:sz="6" w:space="0" w:color="009966"/>
            <w:left w:val="none" w:sz="0" w:space="0" w:color="auto"/>
            <w:bottom w:val="single" w:sz="6" w:space="0" w:color="009966"/>
            <w:right w:val="none" w:sz="0" w:space="0" w:color="auto"/>
          </w:divBdr>
        </w:div>
      </w:divsChild>
    </w:div>
    <w:div w:id="1538817214">
      <w:bodyDiv w:val="1"/>
      <w:marLeft w:val="0"/>
      <w:marRight w:val="0"/>
      <w:marTop w:val="0"/>
      <w:marBottom w:val="0"/>
      <w:divBdr>
        <w:top w:val="none" w:sz="0" w:space="0" w:color="auto"/>
        <w:left w:val="none" w:sz="0" w:space="0" w:color="auto"/>
        <w:bottom w:val="none" w:sz="0" w:space="0" w:color="auto"/>
        <w:right w:val="none" w:sz="0" w:space="0" w:color="auto"/>
      </w:divBdr>
      <w:divsChild>
        <w:div w:id="722019253">
          <w:marLeft w:val="0"/>
          <w:marRight w:val="0"/>
          <w:marTop w:val="0"/>
          <w:marBottom w:val="0"/>
          <w:divBdr>
            <w:top w:val="single" w:sz="6" w:space="0" w:color="009966"/>
            <w:left w:val="none" w:sz="0" w:space="0" w:color="auto"/>
            <w:bottom w:val="single" w:sz="6" w:space="0" w:color="009966"/>
            <w:right w:val="none" w:sz="0" w:space="0" w:color="auto"/>
          </w:divBdr>
        </w:div>
        <w:div w:id="503396975">
          <w:marLeft w:val="0"/>
          <w:marRight w:val="0"/>
          <w:marTop w:val="0"/>
          <w:marBottom w:val="0"/>
          <w:divBdr>
            <w:top w:val="single" w:sz="6" w:space="0" w:color="009966"/>
            <w:left w:val="none" w:sz="0" w:space="0" w:color="auto"/>
            <w:bottom w:val="single" w:sz="6" w:space="0" w:color="009966"/>
            <w:right w:val="none" w:sz="0" w:space="0" w:color="auto"/>
          </w:divBdr>
        </w:div>
        <w:div w:id="260987488">
          <w:marLeft w:val="0"/>
          <w:marRight w:val="0"/>
          <w:marTop w:val="0"/>
          <w:marBottom w:val="0"/>
          <w:divBdr>
            <w:top w:val="single" w:sz="6" w:space="0" w:color="009966"/>
            <w:left w:val="none" w:sz="0" w:space="0" w:color="auto"/>
            <w:bottom w:val="single" w:sz="6" w:space="0" w:color="009966"/>
            <w:right w:val="none" w:sz="0" w:space="0" w:color="auto"/>
          </w:divBdr>
        </w:div>
        <w:div w:id="1455713181">
          <w:marLeft w:val="0"/>
          <w:marRight w:val="0"/>
          <w:marTop w:val="0"/>
          <w:marBottom w:val="0"/>
          <w:divBdr>
            <w:top w:val="single" w:sz="6" w:space="0" w:color="009966"/>
            <w:left w:val="none" w:sz="0" w:space="0" w:color="auto"/>
            <w:bottom w:val="single" w:sz="6" w:space="0" w:color="009966"/>
            <w:right w:val="none" w:sz="0" w:space="0" w:color="auto"/>
          </w:divBdr>
        </w:div>
      </w:divsChild>
    </w:div>
    <w:div w:id="1621650008">
      <w:bodyDiv w:val="1"/>
      <w:marLeft w:val="0"/>
      <w:marRight w:val="0"/>
      <w:marTop w:val="0"/>
      <w:marBottom w:val="0"/>
      <w:divBdr>
        <w:top w:val="none" w:sz="0" w:space="0" w:color="auto"/>
        <w:left w:val="none" w:sz="0" w:space="0" w:color="auto"/>
        <w:bottom w:val="none" w:sz="0" w:space="0" w:color="auto"/>
        <w:right w:val="none" w:sz="0" w:space="0" w:color="auto"/>
      </w:divBdr>
      <w:divsChild>
        <w:div w:id="1908177430">
          <w:marLeft w:val="0"/>
          <w:marRight w:val="0"/>
          <w:marTop w:val="0"/>
          <w:marBottom w:val="0"/>
          <w:divBdr>
            <w:top w:val="single" w:sz="6" w:space="0" w:color="009966"/>
            <w:left w:val="none" w:sz="0" w:space="0" w:color="auto"/>
            <w:bottom w:val="single" w:sz="6" w:space="0" w:color="009966"/>
            <w:right w:val="none" w:sz="0" w:space="0" w:color="auto"/>
          </w:divBdr>
        </w:div>
        <w:div w:id="1029532807">
          <w:marLeft w:val="0"/>
          <w:marRight w:val="0"/>
          <w:marTop w:val="0"/>
          <w:marBottom w:val="0"/>
          <w:divBdr>
            <w:top w:val="single" w:sz="6" w:space="0" w:color="009966"/>
            <w:left w:val="none" w:sz="0" w:space="0" w:color="auto"/>
            <w:bottom w:val="single" w:sz="6" w:space="0" w:color="009966"/>
            <w:right w:val="none" w:sz="0" w:space="0" w:color="auto"/>
          </w:divBdr>
        </w:div>
        <w:div w:id="1470904702">
          <w:marLeft w:val="0"/>
          <w:marRight w:val="0"/>
          <w:marTop w:val="0"/>
          <w:marBottom w:val="0"/>
          <w:divBdr>
            <w:top w:val="single" w:sz="6" w:space="0" w:color="009966"/>
            <w:left w:val="none" w:sz="0" w:space="0" w:color="auto"/>
            <w:bottom w:val="single" w:sz="6" w:space="0" w:color="009966"/>
            <w:right w:val="none" w:sz="0" w:space="0" w:color="auto"/>
          </w:divBdr>
        </w:div>
        <w:div w:id="1779325232">
          <w:marLeft w:val="0"/>
          <w:marRight w:val="0"/>
          <w:marTop w:val="0"/>
          <w:marBottom w:val="0"/>
          <w:divBdr>
            <w:top w:val="single" w:sz="6" w:space="0" w:color="009966"/>
            <w:left w:val="none" w:sz="0" w:space="0" w:color="auto"/>
            <w:bottom w:val="single" w:sz="6" w:space="0" w:color="009966"/>
            <w:right w:val="none" w:sz="0" w:space="0" w:color="auto"/>
          </w:divBdr>
        </w:div>
      </w:divsChild>
    </w:div>
    <w:div w:id="1717774311">
      <w:bodyDiv w:val="1"/>
      <w:marLeft w:val="0"/>
      <w:marRight w:val="0"/>
      <w:marTop w:val="0"/>
      <w:marBottom w:val="0"/>
      <w:divBdr>
        <w:top w:val="none" w:sz="0" w:space="0" w:color="auto"/>
        <w:left w:val="none" w:sz="0" w:space="0" w:color="auto"/>
        <w:bottom w:val="none" w:sz="0" w:space="0" w:color="auto"/>
        <w:right w:val="none" w:sz="0" w:space="0" w:color="auto"/>
      </w:divBdr>
      <w:divsChild>
        <w:div w:id="1422722151">
          <w:marLeft w:val="0"/>
          <w:marRight w:val="0"/>
          <w:marTop w:val="0"/>
          <w:marBottom w:val="0"/>
          <w:divBdr>
            <w:top w:val="single" w:sz="6" w:space="0" w:color="009966"/>
            <w:left w:val="none" w:sz="0" w:space="0" w:color="auto"/>
            <w:bottom w:val="single" w:sz="6" w:space="0" w:color="009966"/>
            <w:right w:val="none" w:sz="0" w:space="0" w:color="auto"/>
          </w:divBdr>
        </w:div>
        <w:div w:id="44961226">
          <w:marLeft w:val="0"/>
          <w:marRight w:val="0"/>
          <w:marTop w:val="0"/>
          <w:marBottom w:val="0"/>
          <w:divBdr>
            <w:top w:val="single" w:sz="6" w:space="0" w:color="009966"/>
            <w:left w:val="none" w:sz="0" w:space="0" w:color="auto"/>
            <w:bottom w:val="single" w:sz="6" w:space="0" w:color="009966"/>
            <w:right w:val="none" w:sz="0" w:space="0" w:color="auto"/>
          </w:divBdr>
        </w:div>
      </w:divsChild>
    </w:div>
    <w:div w:id="1963925246">
      <w:bodyDiv w:val="1"/>
      <w:marLeft w:val="0"/>
      <w:marRight w:val="0"/>
      <w:marTop w:val="0"/>
      <w:marBottom w:val="0"/>
      <w:divBdr>
        <w:top w:val="none" w:sz="0" w:space="0" w:color="auto"/>
        <w:left w:val="none" w:sz="0" w:space="0" w:color="auto"/>
        <w:bottom w:val="none" w:sz="0" w:space="0" w:color="auto"/>
        <w:right w:val="none" w:sz="0" w:space="0" w:color="auto"/>
      </w:divBdr>
    </w:div>
    <w:div w:id="1979843145">
      <w:bodyDiv w:val="1"/>
      <w:marLeft w:val="0"/>
      <w:marRight w:val="0"/>
      <w:marTop w:val="0"/>
      <w:marBottom w:val="0"/>
      <w:divBdr>
        <w:top w:val="none" w:sz="0" w:space="0" w:color="auto"/>
        <w:left w:val="none" w:sz="0" w:space="0" w:color="auto"/>
        <w:bottom w:val="none" w:sz="0" w:space="0" w:color="auto"/>
        <w:right w:val="none" w:sz="0" w:space="0" w:color="auto"/>
      </w:divBdr>
      <w:divsChild>
        <w:div w:id="1058896555">
          <w:marLeft w:val="0"/>
          <w:marRight w:val="0"/>
          <w:marTop w:val="0"/>
          <w:marBottom w:val="0"/>
          <w:divBdr>
            <w:top w:val="single" w:sz="6" w:space="0" w:color="009966"/>
            <w:left w:val="none" w:sz="0" w:space="0" w:color="auto"/>
            <w:bottom w:val="single" w:sz="6" w:space="0" w:color="009966"/>
            <w:right w:val="none" w:sz="0" w:space="0" w:color="auto"/>
          </w:divBdr>
        </w:div>
        <w:div w:id="460079088">
          <w:marLeft w:val="0"/>
          <w:marRight w:val="0"/>
          <w:marTop w:val="0"/>
          <w:marBottom w:val="0"/>
          <w:divBdr>
            <w:top w:val="single" w:sz="6" w:space="0" w:color="009966"/>
            <w:left w:val="none" w:sz="0" w:space="0" w:color="auto"/>
            <w:bottom w:val="single" w:sz="6" w:space="0" w:color="009966"/>
            <w:right w:val="none" w:sz="0" w:space="0" w:color="auto"/>
          </w:divBdr>
        </w:div>
        <w:div w:id="638608718">
          <w:marLeft w:val="0"/>
          <w:marRight w:val="0"/>
          <w:marTop w:val="0"/>
          <w:marBottom w:val="0"/>
          <w:divBdr>
            <w:top w:val="single" w:sz="6" w:space="0" w:color="009966"/>
            <w:left w:val="none" w:sz="0" w:space="0" w:color="auto"/>
            <w:bottom w:val="single" w:sz="6" w:space="0" w:color="009966"/>
            <w:right w:val="none" w:sz="0" w:space="0" w:color="auto"/>
          </w:divBdr>
        </w:div>
        <w:div w:id="2094810667">
          <w:marLeft w:val="0"/>
          <w:marRight w:val="0"/>
          <w:marTop w:val="0"/>
          <w:marBottom w:val="0"/>
          <w:divBdr>
            <w:top w:val="single" w:sz="6" w:space="0" w:color="009966"/>
            <w:left w:val="none" w:sz="0" w:space="0" w:color="auto"/>
            <w:bottom w:val="single" w:sz="6" w:space="0" w:color="009966"/>
            <w:right w:val="none" w:sz="0" w:space="0" w:color="auto"/>
          </w:divBdr>
        </w:div>
      </w:divsChild>
    </w:div>
    <w:div w:id="1999382836">
      <w:bodyDiv w:val="1"/>
      <w:marLeft w:val="0"/>
      <w:marRight w:val="0"/>
      <w:marTop w:val="0"/>
      <w:marBottom w:val="0"/>
      <w:divBdr>
        <w:top w:val="none" w:sz="0" w:space="0" w:color="auto"/>
        <w:left w:val="none" w:sz="0" w:space="0" w:color="auto"/>
        <w:bottom w:val="none" w:sz="0" w:space="0" w:color="auto"/>
        <w:right w:val="none" w:sz="0" w:space="0" w:color="auto"/>
      </w:divBdr>
      <w:divsChild>
        <w:div w:id="994726891">
          <w:marLeft w:val="0"/>
          <w:marRight w:val="0"/>
          <w:marTop w:val="0"/>
          <w:marBottom w:val="0"/>
          <w:divBdr>
            <w:top w:val="single" w:sz="6" w:space="0" w:color="009966"/>
            <w:left w:val="none" w:sz="0" w:space="0" w:color="auto"/>
            <w:bottom w:val="single" w:sz="6" w:space="0" w:color="009966"/>
            <w:right w:val="none" w:sz="0" w:space="0" w:color="auto"/>
          </w:divBdr>
        </w:div>
        <w:div w:id="921446537">
          <w:marLeft w:val="0"/>
          <w:marRight w:val="0"/>
          <w:marTop w:val="0"/>
          <w:marBottom w:val="0"/>
          <w:divBdr>
            <w:top w:val="single" w:sz="6" w:space="0" w:color="009966"/>
            <w:left w:val="none" w:sz="0" w:space="0" w:color="auto"/>
            <w:bottom w:val="single" w:sz="6" w:space="0" w:color="009966"/>
            <w:right w:val="none" w:sz="0" w:space="0" w:color="auto"/>
          </w:divBdr>
        </w:div>
        <w:div w:id="1530682260">
          <w:marLeft w:val="0"/>
          <w:marRight w:val="0"/>
          <w:marTop w:val="0"/>
          <w:marBottom w:val="0"/>
          <w:divBdr>
            <w:top w:val="single" w:sz="6" w:space="0" w:color="009966"/>
            <w:left w:val="none" w:sz="0" w:space="0" w:color="auto"/>
            <w:bottom w:val="single" w:sz="6" w:space="0" w:color="009966"/>
            <w:right w:val="none" w:sz="0" w:space="0" w:color="auto"/>
          </w:divBdr>
        </w:div>
        <w:div w:id="691418830">
          <w:marLeft w:val="0"/>
          <w:marRight w:val="0"/>
          <w:marTop w:val="0"/>
          <w:marBottom w:val="0"/>
          <w:divBdr>
            <w:top w:val="single" w:sz="6" w:space="0" w:color="009966"/>
            <w:left w:val="none" w:sz="0" w:space="0" w:color="auto"/>
            <w:bottom w:val="single" w:sz="6" w:space="0" w:color="009966"/>
            <w:right w:val="none" w:sz="0" w:space="0" w:color="auto"/>
          </w:divBdr>
        </w:div>
        <w:div w:id="1537935209">
          <w:marLeft w:val="0"/>
          <w:marRight w:val="0"/>
          <w:marTop w:val="0"/>
          <w:marBottom w:val="0"/>
          <w:divBdr>
            <w:top w:val="single" w:sz="6" w:space="0" w:color="009966"/>
            <w:left w:val="none" w:sz="0" w:space="0" w:color="auto"/>
            <w:bottom w:val="single" w:sz="6" w:space="0" w:color="009966"/>
            <w:right w:val="none" w:sz="0" w:space="0" w:color="auto"/>
          </w:divBdr>
        </w:div>
      </w:divsChild>
    </w:div>
    <w:div w:id="2057044079">
      <w:bodyDiv w:val="1"/>
      <w:marLeft w:val="0"/>
      <w:marRight w:val="0"/>
      <w:marTop w:val="0"/>
      <w:marBottom w:val="0"/>
      <w:divBdr>
        <w:top w:val="none" w:sz="0" w:space="0" w:color="auto"/>
        <w:left w:val="none" w:sz="0" w:space="0" w:color="auto"/>
        <w:bottom w:val="none" w:sz="0" w:space="0" w:color="auto"/>
        <w:right w:val="none" w:sz="0" w:space="0" w:color="auto"/>
      </w:divBdr>
      <w:divsChild>
        <w:div w:id="1085036998">
          <w:marLeft w:val="0"/>
          <w:marRight w:val="0"/>
          <w:marTop w:val="0"/>
          <w:marBottom w:val="0"/>
          <w:divBdr>
            <w:top w:val="single" w:sz="6" w:space="0" w:color="009966"/>
            <w:left w:val="none" w:sz="0" w:space="0" w:color="auto"/>
            <w:bottom w:val="single" w:sz="6" w:space="0" w:color="009966"/>
            <w:right w:val="none" w:sz="0" w:space="0" w:color="auto"/>
          </w:divBdr>
        </w:div>
        <w:div w:id="1713187505">
          <w:marLeft w:val="0"/>
          <w:marRight w:val="0"/>
          <w:marTop w:val="0"/>
          <w:marBottom w:val="0"/>
          <w:divBdr>
            <w:top w:val="single" w:sz="6" w:space="0" w:color="009966"/>
            <w:left w:val="none" w:sz="0" w:space="0" w:color="auto"/>
            <w:bottom w:val="single" w:sz="6" w:space="0" w:color="009966"/>
            <w:right w:val="none" w:sz="0" w:space="0" w:color="auto"/>
          </w:divBdr>
        </w:div>
        <w:div w:id="194080364">
          <w:marLeft w:val="0"/>
          <w:marRight w:val="0"/>
          <w:marTop w:val="0"/>
          <w:marBottom w:val="0"/>
          <w:divBdr>
            <w:top w:val="single" w:sz="6" w:space="0" w:color="009966"/>
            <w:left w:val="none" w:sz="0" w:space="0" w:color="auto"/>
            <w:bottom w:val="single" w:sz="6" w:space="0" w:color="009966"/>
            <w:right w:val="none" w:sz="0" w:space="0" w:color="auto"/>
          </w:divBdr>
        </w:div>
        <w:div w:id="1287664519">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ankofengland.co.uk/publications/Pages/inflationreport/2017/feb.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otectionpractitione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7C7BC-7A41-4358-9CC0-9C50589D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2926</Words>
  <Characters>14546</Characters>
  <Application>Microsoft Office Word</Application>
  <DocSecurity>0</DocSecurity>
  <Lines>501</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Stacy</cp:lastModifiedBy>
  <cp:revision>3</cp:revision>
  <cp:lastPrinted>2017-03-27T10:17:00Z</cp:lastPrinted>
  <dcterms:created xsi:type="dcterms:W3CDTF">2019-01-22T11:33:00Z</dcterms:created>
  <dcterms:modified xsi:type="dcterms:W3CDTF">2019-01-22T11:49:00Z</dcterms:modified>
</cp:coreProperties>
</file>