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A8E" w:rsidRPr="00E0029E" w:rsidRDefault="00E151EF" w:rsidP="007A43EC">
      <w:pPr>
        <w:rPr>
          <w:rFonts w:ascii="Arial" w:hAnsi="Arial" w:cs="Arial"/>
          <w:sz w:val="23"/>
          <w:szCs w:val="23"/>
        </w:rPr>
      </w:pPr>
      <w:r w:rsidRPr="00E0029E">
        <w:rPr>
          <w:rFonts w:ascii="Arial" w:hAnsi="Arial" w:cs="Arial"/>
          <w:sz w:val="23"/>
          <w:szCs w:val="23"/>
        </w:rPr>
        <w:t>Carlo Arrigoni</w:t>
      </w:r>
      <w:r w:rsidRPr="00E0029E">
        <w:rPr>
          <w:rFonts w:ascii="Arial" w:hAnsi="Arial" w:cs="Arial"/>
          <w:sz w:val="23"/>
          <w:szCs w:val="23"/>
        </w:rPr>
        <w:br/>
        <w:t>Longar Industries Limited</w:t>
      </w:r>
      <w:r w:rsidRPr="00E0029E">
        <w:rPr>
          <w:rFonts w:ascii="Arial" w:hAnsi="Arial" w:cs="Arial"/>
          <w:sz w:val="23"/>
          <w:szCs w:val="23"/>
        </w:rPr>
        <w:br/>
        <w:t>Unit 25 Glenmore Business Park</w:t>
      </w:r>
      <w:r w:rsidRPr="00E0029E">
        <w:rPr>
          <w:rFonts w:ascii="Arial" w:hAnsi="Arial" w:cs="Arial"/>
          <w:sz w:val="23"/>
          <w:szCs w:val="23"/>
        </w:rPr>
        <w:br/>
        <w:t>Weyhill Road</w:t>
      </w:r>
      <w:r w:rsidRPr="00E0029E">
        <w:rPr>
          <w:rFonts w:ascii="Arial" w:hAnsi="Arial" w:cs="Arial"/>
          <w:sz w:val="23"/>
          <w:szCs w:val="23"/>
        </w:rPr>
        <w:br/>
        <w:t>Andover</w:t>
      </w:r>
      <w:r w:rsidRPr="00E0029E">
        <w:rPr>
          <w:rFonts w:ascii="Arial" w:hAnsi="Arial" w:cs="Arial"/>
          <w:sz w:val="23"/>
          <w:szCs w:val="23"/>
        </w:rPr>
        <w:br/>
        <w:t>SP10 3GZ</w:t>
      </w:r>
    </w:p>
    <w:p w:rsidR="00681A8E" w:rsidRPr="00E0029E" w:rsidRDefault="00681A8E" w:rsidP="00681A8E">
      <w:pPr>
        <w:rPr>
          <w:rFonts w:ascii="Arial" w:hAnsi="Arial" w:cs="Arial"/>
          <w:sz w:val="23"/>
          <w:szCs w:val="23"/>
        </w:rPr>
      </w:pPr>
      <w:r w:rsidRPr="00E0029E">
        <w:rPr>
          <w:rFonts w:ascii="Arial" w:hAnsi="Arial" w:cs="Arial"/>
          <w:sz w:val="23"/>
          <w:szCs w:val="23"/>
        </w:rPr>
        <w:tab/>
      </w:r>
      <w:r w:rsidRPr="00E0029E">
        <w:rPr>
          <w:rFonts w:ascii="Arial" w:hAnsi="Arial" w:cs="Arial"/>
          <w:sz w:val="23"/>
          <w:szCs w:val="23"/>
        </w:rPr>
        <w:tab/>
      </w:r>
      <w:r w:rsidRPr="00E0029E">
        <w:rPr>
          <w:rFonts w:ascii="Arial" w:hAnsi="Arial" w:cs="Arial"/>
          <w:sz w:val="23"/>
          <w:szCs w:val="23"/>
        </w:rPr>
        <w:tab/>
      </w:r>
      <w:r w:rsidRPr="00E0029E">
        <w:rPr>
          <w:rFonts w:ascii="Arial" w:hAnsi="Arial" w:cs="Arial"/>
          <w:sz w:val="23"/>
          <w:szCs w:val="23"/>
        </w:rPr>
        <w:tab/>
      </w:r>
      <w:r w:rsidRPr="00E0029E">
        <w:rPr>
          <w:rFonts w:ascii="Arial" w:hAnsi="Arial" w:cs="Arial"/>
          <w:sz w:val="23"/>
          <w:szCs w:val="23"/>
        </w:rPr>
        <w:tab/>
      </w:r>
      <w:r w:rsidRPr="00E0029E">
        <w:rPr>
          <w:rFonts w:ascii="Arial" w:hAnsi="Arial" w:cs="Arial"/>
          <w:sz w:val="23"/>
          <w:szCs w:val="23"/>
        </w:rPr>
        <w:tab/>
      </w:r>
      <w:r w:rsidRPr="00E0029E">
        <w:rPr>
          <w:rFonts w:ascii="Arial" w:hAnsi="Arial" w:cs="Arial"/>
          <w:sz w:val="23"/>
          <w:szCs w:val="23"/>
        </w:rPr>
        <w:tab/>
      </w:r>
      <w:r w:rsidRPr="00E0029E">
        <w:rPr>
          <w:rFonts w:ascii="Arial" w:hAnsi="Arial" w:cs="Arial"/>
          <w:sz w:val="23"/>
          <w:szCs w:val="23"/>
        </w:rPr>
        <w:tab/>
      </w:r>
      <w:r w:rsidRPr="00E0029E">
        <w:rPr>
          <w:rFonts w:ascii="Arial" w:hAnsi="Arial" w:cs="Arial"/>
          <w:sz w:val="23"/>
          <w:szCs w:val="23"/>
        </w:rPr>
        <w:tab/>
      </w:r>
      <w:r w:rsidRPr="00E0029E">
        <w:rPr>
          <w:rFonts w:ascii="Arial" w:hAnsi="Arial" w:cs="Arial"/>
          <w:sz w:val="23"/>
          <w:szCs w:val="23"/>
        </w:rPr>
        <w:tab/>
      </w:r>
      <w:r w:rsidR="00E151EF" w:rsidRPr="00E0029E">
        <w:rPr>
          <w:rFonts w:ascii="Arial" w:hAnsi="Arial" w:cs="Arial"/>
          <w:sz w:val="23"/>
          <w:szCs w:val="23"/>
        </w:rPr>
        <w:t>15 March 2016</w:t>
      </w:r>
    </w:p>
    <w:p w:rsidR="00681A8E" w:rsidRPr="00E0029E" w:rsidRDefault="00681A8E" w:rsidP="00681A8E">
      <w:pPr>
        <w:rPr>
          <w:rFonts w:ascii="Arial" w:hAnsi="Arial" w:cs="Arial"/>
          <w:sz w:val="23"/>
          <w:szCs w:val="23"/>
        </w:rPr>
      </w:pPr>
    </w:p>
    <w:p w:rsidR="00681A8E" w:rsidRPr="00E0029E" w:rsidRDefault="00681A8E" w:rsidP="00681A8E">
      <w:pPr>
        <w:rPr>
          <w:rFonts w:ascii="Arial" w:hAnsi="Arial" w:cs="Arial"/>
          <w:sz w:val="23"/>
          <w:szCs w:val="23"/>
        </w:rPr>
      </w:pPr>
      <w:r w:rsidRPr="00E0029E">
        <w:rPr>
          <w:rFonts w:ascii="Arial" w:hAnsi="Arial" w:cs="Arial"/>
          <w:sz w:val="23"/>
          <w:szCs w:val="23"/>
        </w:rPr>
        <w:t xml:space="preserve">Dear </w:t>
      </w:r>
      <w:r w:rsidR="00E151EF" w:rsidRPr="00E0029E">
        <w:rPr>
          <w:rFonts w:ascii="Arial" w:hAnsi="Arial" w:cs="Arial"/>
          <w:sz w:val="23"/>
          <w:szCs w:val="23"/>
        </w:rPr>
        <w:t>Carlo,</w:t>
      </w:r>
    </w:p>
    <w:p w:rsidR="00681A8E" w:rsidRPr="00E0029E" w:rsidRDefault="00681A8E" w:rsidP="00681A8E">
      <w:pPr>
        <w:rPr>
          <w:rFonts w:ascii="Arial" w:hAnsi="Arial" w:cs="Arial"/>
          <w:sz w:val="23"/>
          <w:szCs w:val="23"/>
        </w:rPr>
      </w:pPr>
    </w:p>
    <w:p w:rsidR="00681A8E" w:rsidRPr="00E0029E" w:rsidRDefault="00B33348" w:rsidP="00681A8E">
      <w:pPr>
        <w:rPr>
          <w:rFonts w:ascii="Arial" w:hAnsi="Arial" w:cs="Arial"/>
          <w:b/>
          <w:sz w:val="23"/>
          <w:szCs w:val="23"/>
        </w:rPr>
      </w:pPr>
      <w:r w:rsidRPr="00E0029E">
        <w:rPr>
          <w:rFonts w:ascii="Arial" w:hAnsi="Arial" w:cs="Arial"/>
          <w:b/>
          <w:sz w:val="23"/>
          <w:szCs w:val="23"/>
        </w:rPr>
        <w:t>PCM</w:t>
      </w:r>
    </w:p>
    <w:p w:rsidR="007A43EC" w:rsidRPr="00E0029E" w:rsidRDefault="007A43EC" w:rsidP="00681A8E">
      <w:pPr>
        <w:rPr>
          <w:rFonts w:ascii="Arial" w:hAnsi="Arial" w:cs="Arial"/>
          <w:sz w:val="23"/>
          <w:szCs w:val="23"/>
        </w:rPr>
      </w:pPr>
    </w:p>
    <w:p w:rsidR="00681A8E" w:rsidRPr="00E0029E" w:rsidRDefault="00681A8E" w:rsidP="00E151EF">
      <w:pPr>
        <w:rPr>
          <w:rFonts w:ascii="Arial" w:hAnsi="Arial" w:cs="Arial"/>
          <w:sz w:val="23"/>
          <w:szCs w:val="23"/>
        </w:rPr>
      </w:pPr>
      <w:r w:rsidRPr="00E0029E">
        <w:rPr>
          <w:rFonts w:ascii="Arial" w:hAnsi="Arial" w:cs="Arial"/>
          <w:sz w:val="23"/>
          <w:szCs w:val="23"/>
        </w:rPr>
        <w:t xml:space="preserve">Please find </w:t>
      </w:r>
      <w:r w:rsidR="00E44BBD" w:rsidRPr="00E0029E">
        <w:rPr>
          <w:rFonts w:ascii="Arial" w:hAnsi="Arial" w:cs="Arial"/>
          <w:sz w:val="23"/>
          <w:szCs w:val="23"/>
        </w:rPr>
        <w:t>the documents in respect of the transfer of Unit 24 to the pension scheme</w:t>
      </w:r>
    </w:p>
    <w:p w:rsidR="00E44BBD" w:rsidRPr="00E0029E" w:rsidRDefault="00E44BBD" w:rsidP="00E151EF">
      <w:pPr>
        <w:rPr>
          <w:rFonts w:ascii="Arial" w:hAnsi="Arial" w:cs="Arial"/>
          <w:sz w:val="23"/>
          <w:szCs w:val="23"/>
        </w:rPr>
      </w:pPr>
    </w:p>
    <w:p w:rsidR="001D1E08" w:rsidRDefault="00E44BBD" w:rsidP="00E151EF">
      <w:pPr>
        <w:rPr>
          <w:rFonts w:ascii="Arial" w:hAnsi="Arial" w:cs="Arial"/>
          <w:sz w:val="23"/>
          <w:szCs w:val="23"/>
        </w:rPr>
      </w:pPr>
      <w:r w:rsidRPr="00E0029E">
        <w:rPr>
          <w:rFonts w:ascii="Arial" w:hAnsi="Arial" w:cs="Arial"/>
          <w:sz w:val="23"/>
          <w:szCs w:val="23"/>
        </w:rPr>
        <w:t xml:space="preserve">I need to </w:t>
      </w:r>
      <w:r w:rsidR="001D1E08" w:rsidRPr="00E0029E">
        <w:rPr>
          <w:rFonts w:ascii="Arial" w:hAnsi="Arial" w:cs="Arial"/>
          <w:sz w:val="23"/>
          <w:szCs w:val="23"/>
        </w:rPr>
        <w:t xml:space="preserve">cover </w:t>
      </w:r>
      <w:r w:rsidR="0081548D">
        <w:rPr>
          <w:rFonts w:ascii="Arial" w:hAnsi="Arial" w:cs="Arial"/>
          <w:sz w:val="23"/>
          <w:szCs w:val="23"/>
        </w:rPr>
        <w:t xml:space="preserve">with you </w:t>
      </w:r>
      <w:r w:rsidR="001D1E08" w:rsidRPr="00E0029E">
        <w:rPr>
          <w:rFonts w:ascii="Arial" w:hAnsi="Arial" w:cs="Arial"/>
          <w:sz w:val="23"/>
          <w:szCs w:val="23"/>
        </w:rPr>
        <w:t>the valuation basis of the property and it's treatment for vat for pension contribution purposes</w:t>
      </w:r>
      <w:r w:rsidRPr="00E0029E">
        <w:rPr>
          <w:rFonts w:ascii="Arial" w:hAnsi="Arial" w:cs="Arial"/>
          <w:sz w:val="23"/>
          <w:szCs w:val="23"/>
        </w:rPr>
        <w:t xml:space="preserve">. </w:t>
      </w:r>
    </w:p>
    <w:p w:rsidR="0081548D" w:rsidRPr="00E0029E" w:rsidRDefault="0081548D" w:rsidP="00E151EF">
      <w:pPr>
        <w:rPr>
          <w:rFonts w:ascii="Arial" w:hAnsi="Arial" w:cs="Arial"/>
          <w:sz w:val="23"/>
          <w:szCs w:val="23"/>
        </w:rPr>
      </w:pPr>
    </w:p>
    <w:p w:rsidR="00E44BBD" w:rsidRPr="00E0029E" w:rsidRDefault="001D1E08" w:rsidP="00E151EF">
      <w:pPr>
        <w:rPr>
          <w:rFonts w:ascii="Arial" w:hAnsi="Arial" w:cs="Arial"/>
          <w:sz w:val="23"/>
          <w:szCs w:val="23"/>
        </w:rPr>
      </w:pPr>
      <w:r w:rsidRPr="00E0029E">
        <w:rPr>
          <w:rFonts w:ascii="Arial" w:hAnsi="Arial" w:cs="Arial"/>
          <w:sz w:val="23"/>
          <w:szCs w:val="23"/>
        </w:rPr>
        <w:t>T</w:t>
      </w:r>
      <w:r w:rsidR="00E44BBD" w:rsidRPr="00E0029E">
        <w:rPr>
          <w:rFonts w:ascii="Arial" w:hAnsi="Arial" w:cs="Arial"/>
          <w:sz w:val="23"/>
          <w:szCs w:val="23"/>
        </w:rPr>
        <w:t xml:space="preserve">he property valuation is stated as £490,000 based on a commercial rental valuation as per </w:t>
      </w:r>
      <w:r w:rsidR="0081548D">
        <w:rPr>
          <w:rFonts w:ascii="Arial" w:hAnsi="Arial" w:cs="Arial"/>
          <w:sz w:val="23"/>
          <w:szCs w:val="23"/>
        </w:rPr>
        <w:t>a</w:t>
      </w:r>
      <w:r w:rsidR="00E44BBD" w:rsidRPr="00E0029E">
        <w:rPr>
          <w:rFonts w:ascii="Arial" w:hAnsi="Arial" w:cs="Arial"/>
          <w:sz w:val="23"/>
          <w:szCs w:val="23"/>
        </w:rPr>
        <w:t xml:space="preserve"> letter dated 26 January</w:t>
      </w:r>
      <w:r w:rsidRPr="00E0029E">
        <w:rPr>
          <w:rFonts w:ascii="Arial" w:hAnsi="Arial" w:cs="Arial"/>
          <w:sz w:val="23"/>
          <w:szCs w:val="23"/>
        </w:rPr>
        <w:t xml:space="preserve"> from the Valuer</w:t>
      </w:r>
      <w:r w:rsidR="00E44BBD" w:rsidRPr="00E0029E">
        <w:rPr>
          <w:rFonts w:ascii="Arial" w:hAnsi="Arial" w:cs="Arial"/>
          <w:sz w:val="23"/>
          <w:szCs w:val="23"/>
        </w:rPr>
        <w:t xml:space="preserve">. </w:t>
      </w:r>
      <w:r w:rsidRPr="00E0029E">
        <w:rPr>
          <w:rFonts w:ascii="Arial" w:hAnsi="Arial" w:cs="Arial"/>
          <w:sz w:val="23"/>
          <w:szCs w:val="23"/>
        </w:rPr>
        <w:t>H</w:t>
      </w:r>
      <w:r w:rsidR="00E44BBD" w:rsidRPr="00E0029E">
        <w:rPr>
          <w:rFonts w:ascii="Arial" w:hAnsi="Arial" w:cs="Arial"/>
          <w:sz w:val="23"/>
          <w:szCs w:val="23"/>
        </w:rPr>
        <w:t xml:space="preserve">aving reviewed the contents of that letter, it clearly states that </w:t>
      </w:r>
      <w:r w:rsidRPr="00E0029E">
        <w:rPr>
          <w:rFonts w:ascii="Arial" w:hAnsi="Arial" w:cs="Arial"/>
          <w:sz w:val="23"/>
          <w:szCs w:val="23"/>
        </w:rPr>
        <w:t xml:space="preserve">the valuation has been arrived at on the assumption of </w:t>
      </w:r>
      <w:r w:rsidR="00A4313D" w:rsidRPr="00E0029E">
        <w:rPr>
          <w:rFonts w:ascii="Arial" w:hAnsi="Arial" w:cs="Arial"/>
          <w:sz w:val="23"/>
          <w:szCs w:val="23"/>
        </w:rPr>
        <w:t xml:space="preserve">no </w:t>
      </w:r>
      <w:r w:rsidRPr="00E0029E">
        <w:rPr>
          <w:rFonts w:ascii="Arial" w:hAnsi="Arial" w:cs="Arial"/>
          <w:sz w:val="23"/>
          <w:szCs w:val="23"/>
        </w:rPr>
        <w:t>liability</w:t>
      </w:r>
      <w:r w:rsidR="00A4313D" w:rsidRPr="00E0029E">
        <w:rPr>
          <w:rFonts w:ascii="Arial" w:hAnsi="Arial" w:cs="Arial"/>
          <w:sz w:val="23"/>
          <w:szCs w:val="23"/>
        </w:rPr>
        <w:t xml:space="preserve"> for taxation on disposal, whether actual or notional and that the valuation reflects costs of acquisition, but not realisation. As this is an </w:t>
      </w:r>
      <w:r w:rsidR="00FA0BBE" w:rsidRPr="00E0029E">
        <w:rPr>
          <w:rFonts w:ascii="Arial" w:hAnsi="Arial" w:cs="Arial"/>
          <w:sz w:val="23"/>
          <w:szCs w:val="23"/>
        </w:rPr>
        <w:t>acquisition</w:t>
      </w:r>
      <w:r w:rsidR="00A4313D" w:rsidRPr="00E0029E">
        <w:rPr>
          <w:rFonts w:ascii="Arial" w:hAnsi="Arial" w:cs="Arial"/>
          <w:sz w:val="23"/>
          <w:szCs w:val="23"/>
        </w:rPr>
        <w:t xml:space="preserve"> by the </w:t>
      </w:r>
      <w:r w:rsidR="00FA0BBE" w:rsidRPr="00E0029E">
        <w:rPr>
          <w:rFonts w:ascii="Arial" w:hAnsi="Arial" w:cs="Arial"/>
          <w:sz w:val="23"/>
          <w:szCs w:val="23"/>
        </w:rPr>
        <w:t>Scheme</w:t>
      </w:r>
      <w:r w:rsidR="00A4313D" w:rsidRPr="00E0029E">
        <w:rPr>
          <w:rFonts w:ascii="Arial" w:hAnsi="Arial" w:cs="Arial"/>
          <w:sz w:val="23"/>
          <w:szCs w:val="23"/>
        </w:rPr>
        <w:t xml:space="preserve">, I have </w:t>
      </w:r>
      <w:r w:rsidRPr="00E0029E">
        <w:rPr>
          <w:rFonts w:ascii="Arial" w:hAnsi="Arial" w:cs="Arial"/>
          <w:sz w:val="23"/>
          <w:szCs w:val="23"/>
        </w:rPr>
        <w:t xml:space="preserve">read the valuation letter literally and </w:t>
      </w:r>
      <w:r w:rsidR="00A4313D" w:rsidRPr="00E0029E">
        <w:rPr>
          <w:rFonts w:ascii="Arial" w:hAnsi="Arial" w:cs="Arial"/>
          <w:sz w:val="23"/>
          <w:szCs w:val="23"/>
        </w:rPr>
        <w:t>therefore VAT does not need to be deduct</w:t>
      </w:r>
      <w:r w:rsidRPr="00E0029E">
        <w:rPr>
          <w:rFonts w:ascii="Arial" w:hAnsi="Arial" w:cs="Arial"/>
          <w:sz w:val="23"/>
          <w:szCs w:val="23"/>
        </w:rPr>
        <w:t xml:space="preserve">ed from the property valuation of £490,000. </w:t>
      </w:r>
    </w:p>
    <w:p w:rsidR="00A4313D" w:rsidRPr="00E0029E" w:rsidRDefault="00A4313D" w:rsidP="00E151EF">
      <w:pPr>
        <w:rPr>
          <w:rFonts w:ascii="Arial" w:hAnsi="Arial" w:cs="Arial"/>
          <w:sz w:val="23"/>
          <w:szCs w:val="23"/>
        </w:rPr>
      </w:pPr>
    </w:p>
    <w:p w:rsidR="00A4313D" w:rsidRPr="00E0029E" w:rsidRDefault="00A4313D" w:rsidP="00E151EF">
      <w:pPr>
        <w:rPr>
          <w:rFonts w:ascii="Arial" w:hAnsi="Arial" w:cs="Arial"/>
          <w:sz w:val="23"/>
          <w:szCs w:val="23"/>
        </w:rPr>
      </w:pPr>
      <w:r w:rsidRPr="00E0029E">
        <w:rPr>
          <w:rFonts w:ascii="Arial" w:hAnsi="Arial" w:cs="Arial"/>
          <w:sz w:val="23"/>
          <w:szCs w:val="23"/>
        </w:rPr>
        <w:t xml:space="preserve">The VAT element does </w:t>
      </w:r>
      <w:r w:rsidR="001D1E08" w:rsidRPr="00E0029E">
        <w:rPr>
          <w:rFonts w:ascii="Arial" w:hAnsi="Arial" w:cs="Arial"/>
          <w:sz w:val="23"/>
          <w:szCs w:val="23"/>
        </w:rPr>
        <w:t xml:space="preserve">also </w:t>
      </w:r>
      <w:r w:rsidRPr="00E0029E">
        <w:rPr>
          <w:rFonts w:ascii="Arial" w:hAnsi="Arial" w:cs="Arial"/>
          <w:sz w:val="23"/>
          <w:szCs w:val="23"/>
        </w:rPr>
        <w:t xml:space="preserve">not constitute a contribution for taxation purposes, therefore the contribution paid is £375,000 and £115,000. I have seen some correspondence with your accountants on this and would advise that pension contributions </w:t>
      </w:r>
      <w:r w:rsidR="001D1E08" w:rsidRPr="00E0029E">
        <w:rPr>
          <w:rFonts w:ascii="Arial" w:hAnsi="Arial" w:cs="Arial"/>
          <w:sz w:val="23"/>
          <w:szCs w:val="23"/>
        </w:rPr>
        <w:t xml:space="preserve">in-specie </w:t>
      </w:r>
      <w:r w:rsidRPr="00E0029E">
        <w:rPr>
          <w:rFonts w:ascii="Arial" w:hAnsi="Arial" w:cs="Arial"/>
          <w:sz w:val="23"/>
          <w:szCs w:val="23"/>
        </w:rPr>
        <w:t xml:space="preserve">settled as VAT </w:t>
      </w:r>
      <w:r w:rsidR="001D1E08" w:rsidRPr="00E0029E">
        <w:rPr>
          <w:rFonts w:ascii="Arial" w:hAnsi="Arial" w:cs="Arial"/>
          <w:sz w:val="23"/>
          <w:szCs w:val="23"/>
        </w:rPr>
        <w:t xml:space="preserve">being part of the consideration </w:t>
      </w:r>
      <w:r w:rsidRPr="00E0029E">
        <w:rPr>
          <w:rFonts w:ascii="Arial" w:hAnsi="Arial" w:cs="Arial"/>
          <w:sz w:val="23"/>
          <w:szCs w:val="23"/>
        </w:rPr>
        <w:t>are not a corporation taxed deductible business expense for pension purposes. If you are not in agreement with this position, do let me know</w:t>
      </w:r>
      <w:r w:rsidR="0081548D">
        <w:rPr>
          <w:rFonts w:ascii="Arial" w:hAnsi="Arial" w:cs="Arial"/>
          <w:sz w:val="23"/>
          <w:szCs w:val="23"/>
        </w:rPr>
        <w:t xml:space="preserve"> as the enclosed paperwork will need to be altered in parts.</w:t>
      </w:r>
    </w:p>
    <w:p w:rsidR="00A4313D" w:rsidRPr="00E0029E" w:rsidRDefault="00A4313D" w:rsidP="00E151EF">
      <w:pPr>
        <w:rPr>
          <w:rFonts w:ascii="Arial" w:hAnsi="Arial" w:cs="Arial"/>
          <w:sz w:val="23"/>
          <w:szCs w:val="23"/>
        </w:rPr>
      </w:pPr>
    </w:p>
    <w:p w:rsidR="00A4313D" w:rsidRPr="00E0029E" w:rsidRDefault="001D1E08" w:rsidP="00E151EF">
      <w:pPr>
        <w:rPr>
          <w:rFonts w:ascii="Arial" w:hAnsi="Arial" w:cs="Arial"/>
          <w:sz w:val="23"/>
          <w:szCs w:val="23"/>
        </w:rPr>
      </w:pPr>
      <w:r w:rsidRPr="00E0029E">
        <w:rPr>
          <w:rFonts w:ascii="Arial" w:hAnsi="Arial" w:cs="Arial"/>
          <w:sz w:val="23"/>
          <w:szCs w:val="23"/>
        </w:rPr>
        <w:t>On the basis that you agree with my position</w:t>
      </w:r>
      <w:r w:rsidR="00A4313D" w:rsidRPr="00E0029E">
        <w:rPr>
          <w:rFonts w:ascii="Arial" w:hAnsi="Arial" w:cs="Arial"/>
          <w:sz w:val="23"/>
          <w:szCs w:val="23"/>
        </w:rPr>
        <w:t>, I enclose two sets of in-specie transfer documents for signing which are on the same basis as previous years. Please return the originals to me once you have had these signed.</w:t>
      </w:r>
    </w:p>
    <w:p w:rsidR="001D1E08" w:rsidRPr="00E0029E" w:rsidRDefault="001D1E08" w:rsidP="00E151EF">
      <w:pPr>
        <w:rPr>
          <w:rFonts w:ascii="Arial" w:hAnsi="Arial" w:cs="Arial"/>
          <w:sz w:val="23"/>
          <w:szCs w:val="23"/>
        </w:rPr>
      </w:pPr>
    </w:p>
    <w:p w:rsidR="001D1E08" w:rsidRPr="00E0029E" w:rsidRDefault="001D1E08" w:rsidP="00E151EF">
      <w:pPr>
        <w:rPr>
          <w:rFonts w:ascii="Arial" w:hAnsi="Arial" w:cs="Arial"/>
          <w:sz w:val="23"/>
          <w:szCs w:val="23"/>
        </w:rPr>
      </w:pPr>
      <w:r w:rsidRPr="00E0029E">
        <w:rPr>
          <w:rFonts w:ascii="Arial" w:hAnsi="Arial" w:cs="Arial"/>
          <w:sz w:val="23"/>
          <w:szCs w:val="23"/>
        </w:rPr>
        <w:t>There are a number of other considerations that apply which I set out here:</w:t>
      </w:r>
    </w:p>
    <w:p w:rsidR="008B640D" w:rsidRPr="00E0029E" w:rsidRDefault="008B640D" w:rsidP="00E151EF">
      <w:pPr>
        <w:rPr>
          <w:rFonts w:ascii="Arial" w:hAnsi="Arial" w:cs="Arial"/>
          <w:sz w:val="23"/>
          <w:szCs w:val="23"/>
        </w:rPr>
      </w:pPr>
    </w:p>
    <w:p w:rsidR="008B640D" w:rsidRPr="00E0029E" w:rsidRDefault="008B640D" w:rsidP="00E151EF">
      <w:pPr>
        <w:rPr>
          <w:rFonts w:ascii="Arial" w:hAnsi="Arial" w:cs="Arial"/>
          <w:b/>
          <w:sz w:val="23"/>
          <w:szCs w:val="23"/>
        </w:rPr>
      </w:pPr>
      <w:r w:rsidRPr="00E0029E">
        <w:rPr>
          <w:rFonts w:ascii="Arial" w:hAnsi="Arial" w:cs="Arial"/>
          <w:b/>
          <w:sz w:val="23"/>
          <w:szCs w:val="23"/>
        </w:rPr>
        <w:t>Wholly and Exclusively for the purposes of trade</w:t>
      </w:r>
    </w:p>
    <w:p w:rsidR="008B640D" w:rsidRPr="00E0029E" w:rsidRDefault="008B640D" w:rsidP="00E151EF">
      <w:pPr>
        <w:rPr>
          <w:rFonts w:ascii="Arial" w:hAnsi="Arial" w:cs="Arial"/>
          <w:sz w:val="23"/>
          <w:szCs w:val="23"/>
        </w:rPr>
      </w:pPr>
    </w:p>
    <w:p w:rsidR="008B640D" w:rsidRPr="00E0029E" w:rsidRDefault="008B640D" w:rsidP="008B640D">
      <w:pPr>
        <w:pStyle w:val="NormalWeb"/>
        <w:shd w:val="clear" w:color="auto" w:fill="FFFFFF"/>
        <w:spacing w:before="75" w:beforeAutospacing="0" w:after="150" w:afterAutospacing="0" w:line="312" w:lineRule="atLeast"/>
        <w:ind w:left="45"/>
        <w:rPr>
          <w:rFonts w:ascii="Arial" w:hAnsi="Arial" w:cs="Arial"/>
          <w:color w:val="000000"/>
          <w:sz w:val="23"/>
          <w:szCs w:val="23"/>
        </w:rPr>
      </w:pPr>
      <w:r w:rsidRPr="00E0029E">
        <w:rPr>
          <w:rFonts w:ascii="Arial" w:hAnsi="Arial" w:cs="Arial"/>
          <w:color w:val="000000"/>
          <w:sz w:val="23"/>
          <w:szCs w:val="23"/>
        </w:rPr>
        <w:t xml:space="preserve">A pension contribution by Longar in respect of any director will be an allowable expense unless there is a non-trade purpose for the payment. In cases where the contribution is part </w:t>
      </w:r>
      <w:r w:rsidRPr="00E0029E">
        <w:rPr>
          <w:rFonts w:ascii="Arial" w:hAnsi="Arial" w:cs="Arial"/>
          <w:color w:val="000000"/>
          <w:sz w:val="23"/>
          <w:szCs w:val="23"/>
        </w:rPr>
        <w:lastRenderedPageBreak/>
        <w:t>of a remuneration package paid wholly and exclusively for the purposes of the trade, then the contribution is an allowable expense.</w:t>
      </w:r>
    </w:p>
    <w:p w:rsidR="008B640D" w:rsidRPr="00E0029E" w:rsidRDefault="008B640D" w:rsidP="008B640D">
      <w:pPr>
        <w:pStyle w:val="NormalWeb"/>
        <w:shd w:val="clear" w:color="auto" w:fill="FFFFFF"/>
        <w:spacing w:before="75" w:beforeAutospacing="0" w:after="150" w:afterAutospacing="0" w:line="312" w:lineRule="atLeast"/>
        <w:ind w:left="45"/>
        <w:rPr>
          <w:rFonts w:ascii="Arial" w:hAnsi="Arial" w:cs="Arial"/>
          <w:color w:val="000000"/>
          <w:sz w:val="23"/>
          <w:szCs w:val="23"/>
        </w:rPr>
      </w:pPr>
      <w:r w:rsidRPr="00E0029E">
        <w:rPr>
          <w:rFonts w:ascii="Arial" w:hAnsi="Arial" w:cs="Arial"/>
          <w:color w:val="000000"/>
          <w:sz w:val="23"/>
          <w:szCs w:val="23"/>
        </w:rPr>
        <w:t xml:space="preserve">You each have an annual allowance, which in the current tax year is £40,000 and after 6th April there is a taper relief allowance being introduced. I would suggest at this time, you allocate a share of the property up to your annual allowances and hold the balance in a general account within the scheme (as per previous years) to meet future pension liabilities. There are pro's and con's of both options, but to undertake tax planning for each of you given the reduction in the lifetime allowance to £1m per person I would need to undertake a separate instruction. </w:t>
      </w:r>
    </w:p>
    <w:p w:rsidR="00A4313D" w:rsidRPr="00E0029E" w:rsidRDefault="00A4313D" w:rsidP="00E151EF">
      <w:pPr>
        <w:rPr>
          <w:rFonts w:ascii="Arial" w:hAnsi="Arial" w:cs="Arial"/>
          <w:b/>
          <w:sz w:val="23"/>
          <w:szCs w:val="23"/>
        </w:rPr>
      </w:pPr>
    </w:p>
    <w:p w:rsidR="00A4313D" w:rsidRPr="00E0029E" w:rsidRDefault="00A4313D" w:rsidP="00E151EF">
      <w:pPr>
        <w:rPr>
          <w:rFonts w:ascii="Arial" w:hAnsi="Arial" w:cs="Arial"/>
          <w:b/>
          <w:sz w:val="23"/>
          <w:szCs w:val="23"/>
        </w:rPr>
      </w:pPr>
      <w:r w:rsidRPr="00E0029E">
        <w:rPr>
          <w:rFonts w:ascii="Arial" w:hAnsi="Arial" w:cs="Arial"/>
          <w:b/>
          <w:sz w:val="23"/>
          <w:szCs w:val="23"/>
        </w:rPr>
        <w:t>Land Registry</w:t>
      </w:r>
    </w:p>
    <w:p w:rsidR="00A4313D" w:rsidRPr="00E0029E" w:rsidRDefault="00A4313D" w:rsidP="00E151EF">
      <w:pPr>
        <w:rPr>
          <w:rFonts w:ascii="Arial" w:hAnsi="Arial" w:cs="Arial"/>
          <w:sz w:val="23"/>
          <w:szCs w:val="23"/>
        </w:rPr>
      </w:pPr>
    </w:p>
    <w:p w:rsidR="00A4313D" w:rsidRPr="00E0029E" w:rsidRDefault="00A4313D" w:rsidP="00E151EF">
      <w:pPr>
        <w:rPr>
          <w:rFonts w:ascii="Arial" w:hAnsi="Arial" w:cs="Arial"/>
          <w:sz w:val="23"/>
          <w:szCs w:val="23"/>
        </w:rPr>
      </w:pPr>
      <w:r w:rsidRPr="00E0029E">
        <w:rPr>
          <w:rFonts w:ascii="Arial" w:hAnsi="Arial" w:cs="Arial"/>
          <w:sz w:val="23"/>
          <w:szCs w:val="23"/>
        </w:rPr>
        <w:t>I have noted from the title dee</w:t>
      </w:r>
      <w:r w:rsidR="00180060" w:rsidRPr="00E0029E">
        <w:rPr>
          <w:rFonts w:ascii="Arial" w:hAnsi="Arial" w:cs="Arial"/>
          <w:sz w:val="23"/>
          <w:szCs w:val="23"/>
        </w:rPr>
        <w:t>d</w:t>
      </w:r>
      <w:r w:rsidRPr="00E0029E">
        <w:rPr>
          <w:rFonts w:ascii="Arial" w:hAnsi="Arial" w:cs="Arial"/>
          <w:sz w:val="23"/>
          <w:szCs w:val="23"/>
        </w:rPr>
        <w:t xml:space="preserve">s that there are restrictions, in </w:t>
      </w:r>
      <w:r w:rsidR="00180060" w:rsidRPr="00E0029E">
        <w:rPr>
          <w:rFonts w:ascii="Arial" w:hAnsi="Arial" w:cs="Arial"/>
          <w:sz w:val="23"/>
          <w:szCs w:val="23"/>
        </w:rPr>
        <w:t>particular</w:t>
      </w:r>
      <w:r w:rsidRPr="00E0029E">
        <w:rPr>
          <w:rFonts w:ascii="Arial" w:hAnsi="Arial" w:cs="Arial"/>
          <w:sz w:val="23"/>
          <w:szCs w:val="23"/>
        </w:rPr>
        <w:t xml:space="preserve"> the following items are recorded:</w:t>
      </w:r>
    </w:p>
    <w:p w:rsidR="00A4313D" w:rsidRPr="00E0029E" w:rsidRDefault="00A4313D" w:rsidP="00E151EF">
      <w:pPr>
        <w:rPr>
          <w:rFonts w:ascii="Arial" w:hAnsi="Arial" w:cs="Arial"/>
          <w:sz w:val="23"/>
          <w:szCs w:val="23"/>
        </w:rPr>
      </w:pPr>
    </w:p>
    <w:p w:rsidR="00A4313D" w:rsidRPr="00E0029E" w:rsidRDefault="00A4313D" w:rsidP="00A4313D">
      <w:pPr>
        <w:autoSpaceDE w:val="0"/>
        <w:autoSpaceDN w:val="0"/>
        <w:adjustRightInd w:val="0"/>
        <w:rPr>
          <w:rFonts w:ascii="Arial" w:hAnsi="Arial" w:cs="Arial"/>
          <w:sz w:val="23"/>
          <w:szCs w:val="23"/>
          <w:lang w:val="en-GB"/>
        </w:rPr>
      </w:pPr>
      <w:r w:rsidRPr="00E0029E">
        <w:rPr>
          <w:rFonts w:ascii="Arial" w:hAnsi="Arial" w:cs="Arial"/>
          <w:sz w:val="23"/>
          <w:szCs w:val="23"/>
          <w:lang w:val="en-GB"/>
        </w:rPr>
        <w:t>(13.01.2004) RESTRICTION: No disposition of the registered estate other</w:t>
      </w:r>
      <w:r w:rsidR="008B640D" w:rsidRPr="00E0029E">
        <w:rPr>
          <w:rFonts w:ascii="Arial" w:hAnsi="Arial" w:cs="Arial"/>
          <w:sz w:val="23"/>
          <w:szCs w:val="23"/>
          <w:lang w:val="en-GB"/>
        </w:rPr>
        <w:t xml:space="preserve"> </w:t>
      </w:r>
      <w:r w:rsidRPr="00E0029E">
        <w:rPr>
          <w:rFonts w:ascii="Arial" w:hAnsi="Arial" w:cs="Arial"/>
          <w:sz w:val="23"/>
          <w:szCs w:val="23"/>
          <w:lang w:val="en-GB"/>
        </w:rPr>
        <w:t>than a charge by the proprietor of the registered estate is to be</w:t>
      </w:r>
      <w:r w:rsidR="008B640D" w:rsidRPr="00E0029E">
        <w:rPr>
          <w:rFonts w:ascii="Arial" w:hAnsi="Arial" w:cs="Arial"/>
          <w:sz w:val="23"/>
          <w:szCs w:val="23"/>
          <w:lang w:val="en-GB"/>
        </w:rPr>
        <w:t xml:space="preserve"> </w:t>
      </w:r>
      <w:r w:rsidRPr="00E0029E">
        <w:rPr>
          <w:rFonts w:ascii="Arial" w:hAnsi="Arial" w:cs="Arial"/>
          <w:sz w:val="23"/>
          <w:szCs w:val="23"/>
          <w:lang w:val="en-GB"/>
        </w:rPr>
        <w:t>registered without a certificate signed by the solicitor of the</w:t>
      </w:r>
      <w:r w:rsidR="008B640D" w:rsidRPr="00E0029E">
        <w:rPr>
          <w:rFonts w:ascii="Arial" w:hAnsi="Arial" w:cs="Arial"/>
          <w:sz w:val="23"/>
          <w:szCs w:val="23"/>
          <w:lang w:val="en-GB"/>
        </w:rPr>
        <w:t xml:space="preserve"> </w:t>
      </w:r>
      <w:r w:rsidRPr="00E0029E">
        <w:rPr>
          <w:rFonts w:ascii="Arial" w:hAnsi="Arial" w:cs="Arial"/>
          <w:sz w:val="23"/>
          <w:szCs w:val="23"/>
          <w:lang w:val="en-GB"/>
        </w:rPr>
        <w:t>disponee that the provisions of Clause 3.4 of the Deed of Grant dated</w:t>
      </w:r>
      <w:r w:rsidR="008B640D" w:rsidRPr="00E0029E">
        <w:rPr>
          <w:rFonts w:ascii="Arial" w:hAnsi="Arial" w:cs="Arial"/>
          <w:sz w:val="23"/>
          <w:szCs w:val="23"/>
          <w:lang w:val="en-GB"/>
        </w:rPr>
        <w:t xml:space="preserve"> </w:t>
      </w:r>
      <w:r w:rsidRPr="00E0029E">
        <w:rPr>
          <w:rFonts w:ascii="Arial" w:hAnsi="Arial" w:cs="Arial"/>
          <w:sz w:val="23"/>
          <w:szCs w:val="23"/>
          <w:lang w:val="en-GB"/>
        </w:rPr>
        <w:t>30 March 2001 and made between (1) Culverhay Developments Limited and</w:t>
      </w:r>
      <w:r w:rsidR="008B640D" w:rsidRPr="00E0029E">
        <w:rPr>
          <w:rFonts w:ascii="Arial" w:hAnsi="Arial" w:cs="Arial"/>
          <w:sz w:val="23"/>
          <w:szCs w:val="23"/>
          <w:lang w:val="en-GB"/>
        </w:rPr>
        <w:t xml:space="preserve"> </w:t>
      </w:r>
      <w:r w:rsidRPr="00E0029E">
        <w:rPr>
          <w:rFonts w:ascii="Arial" w:hAnsi="Arial" w:cs="Arial"/>
          <w:sz w:val="23"/>
          <w:szCs w:val="23"/>
          <w:lang w:val="en-GB"/>
        </w:rPr>
        <w:t>(2) Glenmore Investments Limited have been complied with.</w:t>
      </w:r>
    </w:p>
    <w:p w:rsidR="00A4313D" w:rsidRPr="00E0029E" w:rsidRDefault="00A4313D" w:rsidP="00A4313D">
      <w:pPr>
        <w:autoSpaceDE w:val="0"/>
        <w:autoSpaceDN w:val="0"/>
        <w:adjustRightInd w:val="0"/>
        <w:rPr>
          <w:rFonts w:ascii="Arial" w:hAnsi="Arial" w:cs="Arial"/>
          <w:sz w:val="23"/>
          <w:szCs w:val="23"/>
          <w:lang w:val="en-GB"/>
        </w:rPr>
      </w:pPr>
    </w:p>
    <w:p w:rsidR="00A4313D" w:rsidRPr="00E0029E" w:rsidRDefault="00A4313D" w:rsidP="00A4313D">
      <w:pPr>
        <w:autoSpaceDE w:val="0"/>
        <w:autoSpaceDN w:val="0"/>
        <w:adjustRightInd w:val="0"/>
        <w:rPr>
          <w:rFonts w:ascii="Arial" w:hAnsi="Arial" w:cs="Arial"/>
          <w:sz w:val="23"/>
          <w:szCs w:val="23"/>
          <w:lang w:val="en-GB"/>
        </w:rPr>
      </w:pPr>
      <w:r w:rsidRPr="00E0029E">
        <w:rPr>
          <w:rFonts w:ascii="Arial" w:hAnsi="Arial" w:cs="Arial"/>
          <w:sz w:val="23"/>
          <w:szCs w:val="23"/>
          <w:lang w:val="en-GB"/>
        </w:rPr>
        <w:t>4 (13.01.2004) RESTRICTION: No disposition of the registered estate other</w:t>
      </w:r>
    </w:p>
    <w:p w:rsidR="00A4313D" w:rsidRPr="00E0029E" w:rsidRDefault="00A4313D" w:rsidP="008B640D">
      <w:pPr>
        <w:autoSpaceDE w:val="0"/>
        <w:autoSpaceDN w:val="0"/>
        <w:adjustRightInd w:val="0"/>
        <w:rPr>
          <w:rFonts w:ascii="Arial" w:hAnsi="Arial" w:cs="Arial"/>
          <w:sz w:val="23"/>
          <w:szCs w:val="23"/>
        </w:rPr>
      </w:pPr>
      <w:r w:rsidRPr="00E0029E">
        <w:rPr>
          <w:rFonts w:ascii="Arial" w:hAnsi="Arial" w:cs="Arial"/>
          <w:sz w:val="23"/>
          <w:szCs w:val="23"/>
          <w:lang w:val="en-GB"/>
        </w:rPr>
        <w:t>than a charge by the proprietor of the registered estate is to be</w:t>
      </w:r>
      <w:r w:rsidR="008B640D" w:rsidRPr="00E0029E">
        <w:rPr>
          <w:rFonts w:ascii="Arial" w:hAnsi="Arial" w:cs="Arial"/>
          <w:sz w:val="23"/>
          <w:szCs w:val="23"/>
          <w:lang w:val="en-GB"/>
        </w:rPr>
        <w:t xml:space="preserve"> </w:t>
      </w:r>
      <w:r w:rsidRPr="00E0029E">
        <w:rPr>
          <w:rFonts w:ascii="Arial" w:hAnsi="Arial" w:cs="Arial"/>
          <w:sz w:val="23"/>
          <w:szCs w:val="23"/>
          <w:lang w:val="en-GB"/>
        </w:rPr>
        <w:t>registered without a certificate signed by the solicitors of both the</w:t>
      </w:r>
      <w:r w:rsidR="008B640D" w:rsidRPr="00E0029E">
        <w:rPr>
          <w:rFonts w:ascii="Arial" w:hAnsi="Arial" w:cs="Arial"/>
          <w:sz w:val="23"/>
          <w:szCs w:val="23"/>
          <w:lang w:val="en-GB"/>
        </w:rPr>
        <w:t xml:space="preserve"> </w:t>
      </w:r>
      <w:r w:rsidRPr="00E0029E">
        <w:rPr>
          <w:rFonts w:ascii="Arial" w:hAnsi="Arial" w:cs="Arial"/>
          <w:sz w:val="23"/>
          <w:szCs w:val="23"/>
          <w:lang w:val="en-GB"/>
        </w:rPr>
        <w:t>disponor and disponee that the provisions of Clause 6.1 of the Transfer</w:t>
      </w:r>
      <w:r w:rsidR="008B640D" w:rsidRPr="00E0029E">
        <w:rPr>
          <w:rFonts w:ascii="Arial" w:hAnsi="Arial" w:cs="Arial"/>
          <w:sz w:val="23"/>
          <w:szCs w:val="23"/>
          <w:lang w:val="en-GB"/>
        </w:rPr>
        <w:t xml:space="preserve"> </w:t>
      </w:r>
      <w:r w:rsidRPr="00E0029E">
        <w:rPr>
          <w:rFonts w:ascii="Arial" w:hAnsi="Arial" w:cs="Arial"/>
          <w:sz w:val="23"/>
          <w:szCs w:val="23"/>
          <w:lang w:val="en-GB"/>
        </w:rPr>
        <w:t>dated 17 December 2003 have been complied with.</w:t>
      </w:r>
    </w:p>
    <w:p w:rsidR="00A4313D" w:rsidRPr="00E0029E" w:rsidRDefault="00A4313D" w:rsidP="00681A8E">
      <w:pPr>
        <w:rPr>
          <w:rFonts w:ascii="Arial" w:eastAsia="Times New Roman" w:hAnsi="Arial" w:cs="Arial"/>
          <w:color w:val="222222"/>
          <w:sz w:val="23"/>
          <w:szCs w:val="23"/>
          <w:lang w:val="en-GB" w:eastAsia="en-GB"/>
        </w:rPr>
      </w:pPr>
    </w:p>
    <w:p w:rsidR="00A4313D" w:rsidRPr="00E0029E" w:rsidRDefault="00A4313D" w:rsidP="00681A8E">
      <w:pPr>
        <w:rPr>
          <w:rFonts w:ascii="Arial" w:hAnsi="Arial" w:cs="Arial"/>
          <w:sz w:val="23"/>
          <w:szCs w:val="23"/>
        </w:rPr>
      </w:pPr>
      <w:r w:rsidRPr="00E0029E">
        <w:rPr>
          <w:rFonts w:ascii="Arial" w:hAnsi="Arial" w:cs="Arial"/>
          <w:sz w:val="23"/>
          <w:szCs w:val="23"/>
        </w:rPr>
        <w:t xml:space="preserve">Accordingly, this </w:t>
      </w:r>
      <w:r w:rsidR="00701F7E" w:rsidRPr="00E0029E">
        <w:rPr>
          <w:rFonts w:ascii="Arial" w:hAnsi="Arial" w:cs="Arial"/>
          <w:sz w:val="23"/>
          <w:szCs w:val="23"/>
        </w:rPr>
        <w:t xml:space="preserve">will need to be </w:t>
      </w:r>
      <w:r w:rsidR="0081548D">
        <w:rPr>
          <w:rFonts w:ascii="Arial" w:hAnsi="Arial" w:cs="Arial"/>
          <w:sz w:val="23"/>
          <w:szCs w:val="23"/>
        </w:rPr>
        <w:t>addressed</w:t>
      </w:r>
      <w:r w:rsidR="00701F7E" w:rsidRPr="00E0029E">
        <w:rPr>
          <w:rFonts w:ascii="Arial" w:hAnsi="Arial" w:cs="Arial"/>
          <w:sz w:val="23"/>
          <w:szCs w:val="23"/>
        </w:rPr>
        <w:t xml:space="preserve"> by a </w:t>
      </w:r>
      <w:proofErr w:type="spellStart"/>
      <w:r w:rsidR="00FA0BBE" w:rsidRPr="00E0029E">
        <w:rPr>
          <w:rFonts w:ascii="Arial" w:hAnsi="Arial" w:cs="Arial"/>
          <w:sz w:val="23"/>
          <w:szCs w:val="23"/>
        </w:rPr>
        <w:t>conveyance</w:t>
      </w:r>
      <w:r w:rsidR="0081548D">
        <w:rPr>
          <w:rFonts w:ascii="Arial" w:hAnsi="Arial" w:cs="Arial"/>
          <w:sz w:val="23"/>
          <w:szCs w:val="23"/>
        </w:rPr>
        <w:t>r</w:t>
      </w:r>
      <w:proofErr w:type="spellEnd"/>
      <w:r w:rsidR="00701F7E" w:rsidRPr="00E0029E">
        <w:rPr>
          <w:rFonts w:ascii="Arial" w:hAnsi="Arial" w:cs="Arial"/>
          <w:sz w:val="23"/>
          <w:szCs w:val="23"/>
        </w:rPr>
        <w:t xml:space="preserve"> to ensure correct registration of the title at the </w:t>
      </w:r>
      <w:r w:rsidR="00180060" w:rsidRPr="00E0029E">
        <w:rPr>
          <w:rFonts w:ascii="Arial" w:hAnsi="Arial" w:cs="Arial"/>
          <w:sz w:val="23"/>
          <w:szCs w:val="23"/>
        </w:rPr>
        <w:t>Land R</w:t>
      </w:r>
      <w:r w:rsidR="00701F7E" w:rsidRPr="00E0029E">
        <w:rPr>
          <w:rFonts w:ascii="Arial" w:hAnsi="Arial" w:cs="Arial"/>
          <w:sz w:val="23"/>
          <w:szCs w:val="23"/>
        </w:rPr>
        <w:t xml:space="preserve">egistry and payment of stamp duty. </w:t>
      </w:r>
    </w:p>
    <w:p w:rsidR="00701F7E" w:rsidRPr="00E0029E" w:rsidRDefault="00701F7E" w:rsidP="00681A8E">
      <w:pPr>
        <w:rPr>
          <w:rFonts w:ascii="Arial" w:hAnsi="Arial" w:cs="Arial"/>
          <w:sz w:val="23"/>
          <w:szCs w:val="23"/>
        </w:rPr>
      </w:pPr>
    </w:p>
    <w:p w:rsidR="00701F7E" w:rsidRPr="00E0029E" w:rsidRDefault="00701F7E" w:rsidP="00681A8E">
      <w:pPr>
        <w:rPr>
          <w:rFonts w:ascii="Arial" w:hAnsi="Arial" w:cs="Arial"/>
          <w:b/>
          <w:sz w:val="23"/>
          <w:szCs w:val="23"/>
        </w:rPr>
      </w:pPr>
      <w:r w:rsidRPr="00E0029E">
        <w:rPr>
          <w:rFonts w:ascii="Arial" w:hAnsi="Arial" w:cs="Arial"/>
          <w:b/>
          <w:sz w:val="23"/>
          <w:szCs w:val="23"/>
        </w:rPr>
        <w:t>S</w:t>
      </w:r>
      <w:r w:rsidR="00180060" w:rsidRPr="00E0029E">
        <w:rPr>
          <w:rFonts w:ascii="Arial" w:hAnsi="Arial" w:cs="Arial"/>
          <w:b/>
          <w:sz w:val="23"/>
          <w:szCs w:val="23"/>
        </w:rPr>
        <w:t xml:space="preserve">tamp Duty </w:t>
      </w:r>
    </w:p>
    <w:p w:rsidR="00180060" w:rsidRPr="00E0029E" w:rsidRDefault="00180060" w:rsidP="00681A8E">
      <w:pPr>
        <w:rPr>
          <w:rFonts w:ascii="Arial" w:hAnsi="Arial" w:cs="Arial"/>
          <w:sz w:val="23"/>
          <w:szCs w:val="23"/>
        </w:rPr>
      </w:pPr>
    </w:p>
    <w:p w:rsidR="00701F7E" w:rsidRPr="00E0029E" w:rsidRDefault="00701F7E" w:rsidP="00701F7E">
      <w:pPr>
        <w:shd w:val="clear" w:color="auto" w:fill="FFFFFF"/>
        <w:spacing w:before="75" w:after="150" w:line="312" w:lineRule="atLeast"/>
        <w:ind w:left="45"/>
        <w:rPr>
          <w:rFonts w:ascii="Arial" w:eastAsia="Times New Roman" w:hAnsi="Arial" w:cs="Arial"/>
          <w:color w:val="000000"/>
          <w:sz w:val="23"/>
          <w:szCs w:val="23"/>
          <w:lang w:val="en-GB" w:eastAsia="en-GB"/>
        </w:rPr>
      </w:pPr>
      <w:r w:rsidRPr="00E0029E">
        <w:rPr>
          <w:rFonts w:ascii="Arial" w:eastAsia="Times New Roman" w:hAnsi="Arial" w:cs="Arial"/>
          <w:color w:val="000000"/>
          <w:sz w:val="23"/>
          <w:szCs w:val="23"/>
          <w:lang w:val="en-GB" w:eastAsia="en-GB"/>
        </w:rPr>
        <w:t xml:space="preserve">Chargeable consideration includes any value added tax (VAT) that is payable in respect of a land transaction. </w:t>
      </w:r>
      <w:r w:rsidR="00180060" w:rsidRPr="00E0029E">
        <w:rPr>
          <w:rFonts w:ascii="Arial" w:eastAsia="Times New Roman" w:hAnsi="Arial" w:cs="Arial"/>
          <w:color w:val="000000"/>
          <w:sz w:val="23"/>
          <w:szCs w:val="23"/>
          <w:lang w:val="en-GB" w:eastAsia="en-GB"/>
        </w:rPr>
        <w:t xml:space="preserve">Therefore, the valuation of £490,000 would need to be uprated by 20% and SDLT is payable on the whole sum. </w:t>
      </w:r>
      <w:r w:rsidRPr="00E0029E">
        <w:rPr>
          <w:rFonts w:ascii="Arial" w:eastAsia="Times New Roman" w:hAnsi="Arial" w:cs="Arial"/>
          <w:color w:val="000000"/>
          <w:sz w:val="23"/>
          <w:szCs w:val="23"/>
          <w:lang w:val="en-GB" w:eastAsia="en-GB"/>
        </w:rPr>
        <w:t xml:space="preserve">This is also the case where the VAT charged is recoverable from HM Revenue &amp; Customs as input tax. </w:t>
      </w:r>
    </w:p>
    <w:p w:rsidR="00701F7E" w:rsidRDefault="00701F7E" w:rsidP="00701F7E">
      <w:pPr>
        <w:shd w:val="clear" w:color="auto" w:fill="FFFFFF"/>
        <w:spacing w:before="75" w:after="150" w:line="312" w:lineRule="atLeast"/>
        <w:ind w:left="45"/>
        <w:rPr>
          <w:rFonts w:ascii="Arial" w:eastAsia="Times New Roman" w:hAnsi="Arial" w:cs="Arial"/>
          <w:color w:val="000000"/>
          <w:sz w:val="23"/>
          <w:szCs w:val="23"/>
          <w:lang w:val="en-GB" w:eastAsia="en-GB"/>
        </w:rPr>
      </w:pPr>
      <w:r w:rsidRPr="00E0029E">
        <w:rPr>
          <w:rFonts w:ascii="Arial" w:eastAsia="Times New Roman" w:hAnsi="Arial" w:cs="Arial"/>
          <w:color w:val="000000"/>
          <w:sz w:val="23"/>
          <w:szCs w:val="23"/>
          <w:lang w:val="en-GB" w:eastAsia="en-GB"/>
        </w:rPr>
        <w:t>Where</w:t>
      </w:r>
      <w:r w:rsidR="00180060" w:rsidRPr="00E0029E">
        <w:rPr>
          <w:rFonts w:ascii="Arial" w:eastAsia="Times New Roman" w:hAnsi="Arial" w:cs="Arial"/>
          <w:color w:val="000000"/>
          <w:sz w:val="23"/>
          <w:szCs w:val="23"/>
          <w:lang w:val="en-GB" w:eastAsia="en-GB"/>
        </w:rPr>
        <w:t xml:space="preserve"> </w:t>
      </w:r>
      <w:r w:rsidRPr="00E0029E">
        <w:rPr>
          <w:rFonts w:ascii="Arial" w:eastAsia="Times New Roman" w:hAnsi="Arial" w:cs="Arial"/>
          <w:color w:val="000000"/>
          <w:sz w:val="23"/>
          <w:szCs w:val="23"/>
          <w:lang w:val="en-GB" w:eastAsia="en-GB"/>
        </w:rPr>
        <w:t>there is a transfer of a going concern</w:t>
      </w:r>
      <w:r w:rsidR="00180060" w:rsidRPr="00E0029E">
        <w:rPr>
          <w:rFonts w:ascii="Arial" w:eastAsia="Times New Roman" w:hAnsi="Arial" w:cs="Arial"/>
          <w:color w:val="000000"/>
          <w:sz w:val="23"/>
          <w:szCs w:val="23"/>
          <w:lang w:val="en-GB" w:eastAsia="en-GB"/>
        </w:rPr>
        <w:t xml:space="preserve"> and </w:t>
      </w:r>
      <w:r w:rsidRPr="00E0029E">
        <w:rPr>
          <w:rFonts w:ascii="Arial" w:eastAsia="Times New Roman" w:hAnsi="Arial" w:cs="Arial"/>
          <w:color w:val="000000"/>
          <w:sz w:val="23"/>
          <w:szCs w:val="23"/>
          <w:lang w:val="en-GB" w:eastAsia="en-GB"/>
        </w:rPr>
        <w:t>the transfer meets all the conditions set down in the relevant VAT law no VAT will be payable.</w:t>
      </w:r>
      <w:r w:rsidR="00180060" w:rsidRPr="00E0029E">
        <w:rPr>
          <w:rFonts w:ascii="Arial" w:eastAsia="Times New Roman" w:hAnsi="Arial" w:cs="Arial"/>
          <w:color w:val="000000"/>
          <w:sz w:val="23"/>
          <w:szCs w:val="23"/>
          <w:lang w:val="en-GB" w:eastAsia="en-GB"/>
        </w:rPr>
        <w:t xml:space="preserve"> </w:t>
      </w:r>
      <w:r w:rsidRPr="00E0029E">
        <w:rPr>
          <w:rFonts w:ascii="Arial" w:eastAsia="Times New Roman" w:hAnsi="Arial" w:cs="Arial"/>
          <w:color w:val="000000"/>
          <w:sz w:val="23"/>
          <w:szCs w:val="23"/>
          <w:lang w:val="en-GB" w:eastAsia="en-GB"/>
        </w:rPr>
        <w:t xml:space="preserve">The chargeable consideration </w:t>
      </w:r>
      <w:r w:rsidR="00180060" w:rsidRPr="00E0029E">
        <w:rPr>
          <w:rFonts w:ascii="Arial" w:eastAsia="Times New Roman" w:hAnsi="Arial" w:cs="Arial"/>
          <w:color w:val="000000"/>
          <w:sz w:val="23"/>
          <w:szCs w:val="23"/>
          <w:lang w:val="en-GB" w:eastAsia="en-GB"/>
        </w:rPr>
        <w:t xml:space="preserve">of £490,000 </w:t>
      </w:r>
      <w:r w:rsidRPr="00E0029E">
        <w:rPr>
          <w:rFonts w:ascii="Arial" w:eastAsia="Times New Roman" w:hAnsi="Arial" w:cs="Arial"/>
          <w:color w:val="000000"/>
          <w:sz w:val="23"/>
          <w:szCs w:val="23"/>
          <w:lang w:val="en-GB" w:eastAsia="en-GB"/>
        </w:rPr>
        <w:t>will ther</w:t>
      </w:r>
      <w:r w:rsidR="00B33348" w:rsidRPr="00E0029E">
        <w:rPr>
          <w:rFonts w:ascii="Arial" w:eastAsia="Times New Roman" w:hAnsi="Arial" w:cs="Arial"/>
          <w:color w:val="000000"/>
          <w:sz w:val="23"/>
          <w:szCs w:val="23"/>
          <w:lang w:val="en-GB" w:eastAsia="en-GB"/>
        </w:rPr>
        <w:t>efore be a VAT exclusive amount.</w:t>
      </w:r>
    </w:p>
    <w:p w:rsidR="0081548D" w:rsidRPr="00E0029E" w:rsidRDefault="0081548D" w:rsidP="00701F7E">
      <w:pPr>
        <w:shd w:val="clear" w:color="auto" w:fill="FFFFFF"/>
        <w:spacing w:before="75" w:after="150" w:line="312" w:lineRule="atLeast"/>
        <w:ind w:left="45"/>
        <w:rPr>
          <w:rFonts w:ascii="Arial" w:eastAsia="Times New Roman" w:hAnsi="Arial" w:cs="Arial"/>
          <w:color w:val="000000"/>
          <w:sz w:val="23"/>
          <w:szCs w:val="23"/>
          <w:lang w:val="en-GB" w:eastAsia="en-GB"/>
        </w:rPr>
      </w:pPr>
    </w:p>
    <w:p w:rsidR="007E5295" w:rsidRPr="00E0029E" w:rsidRDefault="007E5295" w:rsidP="00701F7E">
      <w:pPr>
        <w:shd w:val="clear" w:color="auto" w:fill="FFFFFF"/>
        <w:spacing w:before="75" w:after="150" w:line="312" w:lineRule="atLeast"/>
        <w:ind w:left="45"/>
        <w:rPr>
          <w:rFonts w:ascii="Arial" w:eastAsia="Times New Roman" w:hAnsi="Arial" w:cs="Arial"/>
          <w:b/>
          <w:color w:val="000000"/>
          <w:sz w:val="23"/>
          <w:szCs w:val="23"/>
          <w:lang w:val="en-GB" w:eastAsia="en-GB"/>
        </w:rPr>
      </w:pPr>
      <w:r w:rsidRPr="00E0029E">
        <w:rPr>
          <w:rFonts w:ascii="Arial" w:eastAsia="Times New Roman" w:hAnsi="Arial" w:cs="Arial"/>
          <w:b/>
          <w:color w:val="000000"/>
          <w:sz w:val="23"/>
          <w:szCs w:val="23"/>
          <w:lang w:val="en-GB" w:eastAsia="en-GB"/>
        </w:rPr>
        <w:lastRenderedPageBreak/>
        <w:t>Transfer of Going Concern</w:t>
      </w:r>
    </w:p>
    <w:p w:rsidR="00180060" w:rsidRPr="00E0029E" w:rsidRDefault="0068363D" w:rsidP="00701F7E">
      <w:pPr>
        <w:shd w:val="clear" w:color="auto" w:fill="FFFFFF"/>
        <w:spacing w:before="75" w:after="150" w:line="312" w:lineRule="atLeast"/>
        <w:ind w:left="45"/>
        <w:rPr>
          <w:rFonts w:ascii="Arial" w:eastAsia="Times New Roman" w:hAnsi="Arial" w:cs="Arial"/>
          <w:color w:val="000000"/>
          <w:sz w:val="23"/>
          <w:szCs w:val="23"/>
          <w:lang w:val="en-GB" w:eastAsia="en-GB"/>
        </w:rPr>
      </w:pPr>
      <w:r w:rsidRPr="00E0029E">
        <w:rPr>
          <w:rFonts w:ascii="Arial" w:eastAsia="Times New Roman" w:hAnsi="Arial" w:cs="Arial"/>
          <w:color w:val="000000"/>
          <w:sz w:val="23"/>
          <w:szCs w:val="23"/>
          <w:lang w:val="en-GB" w:eastAsia="en-GB"/>
        </w:rPr>
        <w:t xml:space="preserve">I have made a number of </w:t>
      </w:r>
      <w:r w:rsidR="00DE0F2E" w:rsidRPr="00E0029E">
        <w:rPr>
          <w:rFonts w:ascii="Arial" w:eastAsia="Times New Roman" w:hAnsi="Arial" w:cs="Arial"/>
          <w:color w:val="000000"/>
          <w:sz w:val="23"/>
          <w:szCs w:val="23"/>
          <w:lang w:val="en-GB" w:eastAsia="en-GB"/>
        </w:rPr>
        <w:t xml:space="preserve">general </w:t>
      </w:r>
      <w:r w:rsidRPr="00E0029E">
        <w:rPr>
          <w:rFonts w:ascii="Arial" w:eastAsia="Times New Roman" w:hAnsi="Arial" w:cs="Arial"/>
          <w:color w:val="000000"/>
          <w:sz w:val="23"/>
          <w:szCs w:val="23"/>
          <w:lang w:val="en-GB" w:eastAsia="en-GB"/>
        </w:rPr>
        <w:t>enquiries for you on this with both HMRC and a VAT specialist</w:t>
      </w:r>
      <w:r w:rsidR="00B33348" w:rsidRPr="00E0029E">
        <w:rPr>
          <w:rFonts w:ascii="Arial" w:eastAsia="Times New Roman" w:hAnsi="Arial" w:cs="Arial"/>
          <w:color w:val="000000"/>
          <w:sz w:val="23"/>
          <w:szCs w:val="23"/>
          <w:lang w:val="en-GB" w:eastAsia="en-GB"/>
        </w:rPr>
        <w:t xml:space="preserve"> over the last few days</w:t>
      </w:r>
      <w:r w:rsidRPr="00E0029E">
        <w:rPr>
          <w:rFonts w:ascii="Arial" w:eastAsia="Times New Roman" w:hAnsi="Arial" w:cs="Arial"/>
          <w:color w:val="000000"/>
          <w:sz w:val="23"/>
          <w:szCs w:val="23"/>
          <w:lang w:val="en-GB" w:eastAsia="en-GB"/>
        </w:rPr>
        <w:t xml:space="preserve">, for which I must charge for that time spent. It </w:t>
      </w:r>
      <w:r w:rsidR="00A66BD4">
        <w:rPr>
          <w:rFonts w:ascii="Arial" w:eastAsia="Times New Roman" w:hAnsi="Arial" w:cs="Arial"/>
          <w:color w:val="000000"/>
          <w:sz w:val="23"/>
          <w:szCs w:val="23"/>
          <w:lang w:val="en-GB" w:eastAsia="en-GB"/>
        </w:rPr>
        <w:t>will</w:t>
      </w:r>
      <w:r w:rsidR="0081548D">
        <w:rPr>
          <w:rFonts w:ascii="Arial" w:eastAsia="Times New Roman" w:hAnsi="Arial" w:cs="Arial"/>
          <w:color w:val="000000"/>
          <w:sz w:val="23"/>
          <w:szCs w:val="23"/>
          <w:lang w:val="en-GB" w:eastAsia="en-GB"/>
        </w:rPr>
        <w:t>,</w:t>
      </w:r>
      <w:r w:rsidR="00A66BD4">
        <w:rPr>
          <w:rFonts w:ascii="Arial" w:eastAsia="Times New Roman" w:hAnsi="Arial" w:cs="Arial"/>
          <w:color w:val="000000"/>
          <w:sz w:val="23"/>
          <w:szCs w:val="23"/>
          <w:lang w:val="en-GB" w:eastAsia="en-GB"/>
        </w:rPr>
        <w:t xml:space="preserve"> if successful</w:t>
      </w:r>
      <w:r w:rsidR="0081548D">
        <w:rPr>
          <w:rFonts w:ascii="Arial" w:eastAsia="Times New Roman" w:hAnsi="Arial" w:cs="Arial"/>
          <w:color w:val="000000"/>
          <w:sz w:val="23"/>
          <w:szCs w:val="23"/>
          <w:lang w:val="en-GB" w:eastAsia="en-GB"/>
        </w:rPr>
        <w:t>, substantially</w:t>
      </w:r>
      <w:r w:rsidR="00A66BD4">
        <w:rPr>
          <w:rFonts w:ascii="Arial" w:eastAsia="Times New Roman" w:hAnsi="Arial" w:cs="Arial"/>
          <w:color w:val="000000"/>
          <w:sz w:val="23"/>
          <w:szCs w:val="23"/>
          <w:lang w:val="en-GB" w:eastAsia="en-GB"/>
        </w:rPr>
        <w:t xml:space="preserve"> reduce certain costs. </w:t>
      </w:r>
      <w:r w:rsidR="00180060" w:rsidRPr="00E0029E">
        <w:rPr>
          <w:rFonts w:ascii="Arial" w:eastAsia="Times New Roman" w:hAnsi="Arial" w:cs="Arial"/>
          <w:color w:val="000000"/>
          <w:sz w:val="23"/>
          <w:szCs w:val="23"/>
          <w:lang w:val="en-GB" w:eastAsia="en-GB"/>
        </w:rPr>
        <w:t xml:space="preserve">Quite simply </w:t>
      </w:r>
      <w:r w:rsidR="0081548D">
        <w:rPr>
          <w:rFonts w:ascii="Arial" w:eastAsia="Times New Roman" w:hAnsi="Arial" w:cs="Arial"/>
          <w:color w:val="000000"/>
          <w:sz w:val="23"/>
          <w:szCs w:val="23"/>
          <w:lang w:val="en-GB" w:eastAsia="en-GB"/>
        </w:rPr>
        <w:t>under Transfer of Going Concern</w:t>
      </w:r>
      <w:r w:rsidR="0081548D" w:rsidRPr="00E0029E">
        <w:rPr>
          <w:rFonts w:ascii="Arial" w:eastAsia="Times New Roman" w:hAnsi="Arial" w:cs="Arial"/>
          <w:color w:val="000000"/>
          <w:sz w:val="23"/>
          <w:szCs w:val="23"/>
          <w:lang w:val="en-GB" w:eastAsia="en-GB"/>
        </w:rPr>
        <w:t xml:space="preserve"> </w:t>
      </w:r>
      <w:r w:rsidR="00180060" w:rsidRPr="00E0029E">
        <w:rPr>
          <w:rFonts w:ascii="Arial" w:eastAsia="Times New Roman" w:hAnsi="Arial" w:cs="Arial"/>
          <w:color w:val="000000"/>
          <w:sz w:val="23"/>
          <w:szCs w:val="23"/>
          <w:lang w:val="en-GB" w:eastAsia="en-GB"/>
        </w:rPr>
        <w:t>there would be no VAT charged on the stamp duty or VAT to recover</w:t>
      </w:r>
      <w:r w:rsidR="00A66BD4">
        <w:rPr>
          <w:rFonts w:ascii="Arial" w:eastAsia="Times New Roman" w:hAnsi="Arial" w:cs="Arial"/>
          <w:color w:val="000000"/>
          <w:sz w:val="23"/>
          <w:szCs w:val="23"/>
          <w:lang w:val="en-GB" w:eastAsia="en-GB"/>
        </w:rPr>
        <w:t>.</w:t>
      </w:r>
      <w:r w:rsidR="00180060" w:rsidRPr="00E0029E">
        <w:rPr>
          <w:rFonts w:ascii="Arial" w:eastAsia="Times New Roman" w:hAnsi="Arial" w:cs="Arial"/>
          <w:color w:val="000000"/>
          <w:sz w:val="23"/>
          <w:szCs w:val="23"/>
          <w:lang w:val="en-GB" w:eastAsia="en-GB"/>
        </w:rPr>
        <w:t xml:space="preserve"> </w:t>
      </w:r>
    </w:p>
    <w:p w:rsidR="009F1A26" w:rsidRPr="00E0029E" w:rsidRDefault="0068363D" w:rsidP="00701F7E">
      <w:pPr>
        <w:shd w:val="clear" w:color="auto" w:fill="FFFFFF"/>
        <w:spacing w:before="75" w:after="150" w:line="312" w:lineRule="atLeast"/>
        <w:ind w:left="45"/>
        <w:rPr>
          <w:rFonts w:ascii="Arial" w:hAnsi="Arial" w:cs="Arial"/>
          <w:sz w:val="23"/>
          <w:szCs w:val="23"/>
        </w:rPr>
      </w:pPr>
      <w:r w:rsidRPr="00E0029E">
        <w:rPr>
          <w:rFonts w:ascii="Arial" w:hAnsi="Arial" w:cs="Arial"/>
          <w:sz w:val="23"/>
          <w:szCs w:val="23"/>
        </w:rPr>
        <w:t xml:space="preserve">Subject to certain exceptions, the supply by a person of assets of his business to a person to whom he transfers that business (or part thereof) as a going concern is neither a supply of goods nor a supply of services provided all the following conditions are satisfied: </w:t>
      </w:r>
    </w:p>
    <w:p w:rsidR="009F1A26" w:rsidRPr="00E0029E" w:rsidRDefault="0068363D" w:rsidP="00B33348">
      <w:pPr>
        <w:pStyle w:val="ListParagraph"/>
        <w:numPr>
          <w:ilvl w:val="0"/>
          <w:numId w:val="4"/>
        </w:numPr>
        <w:shd w:val="clear" w:color="auto" w:fill="FFFFFF"/>
        <w:spacing w:before="75" w:after="150" w:line="312" w:lineRule="atLeast"/>
        <w:rPr>
          <w:rFonts w:ascii="Arial" w:hAnsi="Arial" w:cs="Arial"/>
          <w:sz w:val="23"/>
          <w:szCs w:val="23"/>
        </w:rPr>
      </w:pPr>
      <w:r w:rsidRPr="00E0029E">
        <w:rPr>
          <w:rFonts w:ascii="Arial" w:hAnsi="Arial" w:cs="Arial"/>
          <w:sz w:val="23"/>
          <w:szCs w:val="23"/>
        </w:rPr>
        <w:t>The assets are to be used by the transferee in carrying on the same kind of business as that carried on by the transferor.</w:t>
      </w:r>
      <w:r w:rsidR="009F1A26" w:rsidRPr="00E0029E">
        <w:rPr>
          <w:rFonts w:ascii="Arial" w:hAnsi="Arial" w:cs="Arial"/>
          <w:sz w:val="23"/>
          <w:szCs w:val="23"/>
        </w:rPr>
        <w:t xml:space="preserve"> </w:t>
      </w:r>
      <w:r w:rsidRPr="00E0029E">
        <w:rPr>
          <w:rFonts w:ascii="Arial" w:hAnsi="Arial" w:cs="Arial"/>
          <w:sz w:val="23"/>
          <w:szCs w:val="23"/>
        </w:rPr>
        <w:t xml:space="preserve"> It is not essential that the buyer pursues the same type of business as that carried on by the seller prior to the transfer. </w:t>
      </w:r>
      <w:r w:rsidR="00B33348" w:rsidRPr="00E0029E">
        <w:rPr>
          <w:rFonts w:ascii="Arial" w:hAnsi="Arial" w:cs="Arial"/>
          <w:sz w:val="23"/>
          <w:szCs w:val="23"/>
        </w:rPr>
        <w:br/>
      </w:r>
    </w:p>
    <w:p w:rsidR="009F1A26" w:rsidRPr="00E0029E" w:rsidRDefault="0068363D" w:rsidP="00B33348">
      <w:pPr>
        <w:pStyle w:val="ListParagraph"/>
        <w:numPr>
          <w:ilvl w:val="0"/>
          <w:numId w:val="4"/>
        </w:numPr>
        <w:shd w:val="clear" w:color="auto" w:fill="FFFFFF"/>
        <w:spacing w:before="75" w:after="150" w:line="312" w:lineRule="atLeast"/>
        <w:rPr>
          <w:rFonts w:ascii="Arial" w:hAnsi="Arial" w:cs="Arial"/>
          <w:sz w:val="23"/>
          <w:szCs w:val="23"/>
        </w:rPr>
      </w:pPr>
      <w:r w:rsidRPr="00E0029E">
        <w:rPr>
          <w:rFonts w:ascii="Arial" w:hAnsi="Arial" w:cs="Arial"/>
          <w:sz w:val="23"/>
          <w:szCs w:val="23"/>
        </w:rPr>
        <w:t xml:space="preserve">In a case in which the transferor is a taxable person (i.e. registered or liable to be registered for VAT), the transferee must already be a taxable person or immediately become, as a result of the transfer, a taxable person. </w:t>
      </w:r>
      <w:r w:rsidR="00B33348" w:rsidRPr="00E0029E">
        <w:rPr>
          <w:rFonts w:ascii="Arial" w:hAnsi="Arial" w:cs="Arial"/>
          <w:sz w:val="23"/>
          <w:szCs w:val="23"/>
        </w:rPr>
        <w:br/>
      </w:r>
    </w:p>
    <w:p w:rsidR="009F1A26" w:rsidRPr="00E0029E" w:rsidRDefault="0068363D" w:rsidP="00B33348">
      <w:pPr>
        <w:pStyle w:val="ListParagraph"/>
        <w:numPr>
          <w:ilvl w:val="0"/>
          <w:numId w:val="4"/>
        </w:numPr>
        <w:shd w:val="clear" w:color="auto" w:fill="FFFFFF"/>
        <w:spacing w:before="75" w:after="150" w:line="312" w:lineRule="atLeast"/>
        <w:rPr>
          <w:rFonts w:ascii="Arial" w:hAnsi="Arial" w:cs="Arial"/>
          <w:sz w:val="23"/>
          <w:szCs w:val="23"/>
        </w:rPr>
      </w:pPr>
      <w:r w:rsidRPr="00E0029E">
        <w:rPr>
          <w:rFonts w:ascii="Arial" w:hAnsi="Arial" w:cs="Arial"/>
          <w:sz w:val="23"/>
          <w:szCs w:val="23"/>
        </w:rPr>
        <w:t xml:space="preserve">In relation to a part transfer, that part is capable of separate operation. It does not matter whether it will, in fact, be operated separately from any other business the new owner carries on. </w:t>
      </w:r>
    </w:p>
    <w:p w:rsidR="00180060" w:rsidRPr="00E0029E" w:rsidRDefault="00180060" w:rsidP="00180060">
      <w:pPr>
        <w:pStyle w:val="ListParagraph"/>
        <w:shd w:val="clear" w:color="auto" w:fill="FFFFFF"/>
        <w:spacing w:before="75" w:after="150" w:line="312" w:lineRule="atLeast"/>
        <w:ind w:left="765"/>
        <w:rPr>
          <w:rFonts w:ascii="Arial" w:hAnsi="Arial" w:cs="Arial"/>
          <w:sz w:val="23"/>
          <w:szCs w:val="23"/>
        </w:rPr>
      </w:pPr>
    </w:p>
    <w:p w:rsidR="009F1A26" w:rsidRPr="00E0029E" w:rsidRDefault="0068363D" w:rsidP="00B33348">
      <w:pPr>
        <w:pStyle w:val="ListParagraph"/>
        <w:numPr>
          <w:ilvl w:val="0"/>
          <w:numId w:val="4"/>
        </w:numPr>
        <w:shd w:val="clear" w:color="auto" w:fill="FFFFFF"/>
        <w:spacing w:before="75" w:after="150" w:line="312" w:lineRule="atLeast"/>
        <w:rPr>
          <w:rFonts w:ascii="Arial" w:hAnsi="Arial" w:cs="Arial"/>
          <w:sz w:val="23"/>
          <w:szCs w:val="23"/>
        </w:rPr>
      </w:pPr>
      <w:r w:rsidRPr="00E0029E">
        <w:rPr>
          <w:rFonts w:ascii="Arial" w:hAnsi="Arial" w:cs="Arial"/>
          <w:sz w:val="23"/>
          <w:szCs w:val="23"/>
        </w:rPr>
        <w:t xml:space="preserve">The effect of the transfer must be to put the new owner in possession of a business which can be operated as such. A sale of capital assets is not in itself a TOGC but if the effect is to put the purchaser in possession of a business, then it is such a transfer even if the assets are transferred on different dates. </w:t>
      </w:r>
    </w:p>
    <w:p w:rsidR="00180060" w:rsidRPr="00E0029E" w:rsidRDefault="00180060" w:rsidP="00180060">
      <w:pPr>
        <w:pStyle w:val="ListParagraph"/>
        <w:shd w:val="clear" w:color="auto" w:fill="FFFFFF"/>
        <w:spacing w:before="75" w:after="150" w:line="312" w:lineRule="atLeast"/>
        <w:ind w:left="765"/>
        <w:rPr>
          <w:rFonts w:ascii="Arial" w:hAnsi="Arial" w:cs="Arial"/>
          <w:sz w:val="23"/>
          <w:szCs w:val="23"/>
        </w:rPr>
      </w:pPr>
    </w:p>
    <w:p w:rsidR="009F1A26" w:rsidRPr="00E0029E" w:rsidRDefault="0068363D" w:rsidP="00B33348">
      <w:pPr>
        <w:pStyle w:val="ListParagraph"/>
        <w:numPr>
          <w:ilvl w:val="0"/>
          <w:numId w:val="4"/>
        </w:numPr>
        <w:shd w:val="clear" w:color="auto" w:fill="FFFFFF"/>
        <w:spacing w:before="75" w:after="150" w:line="312" w:lineRule="atLeast"/>
        <w:rPr>
          <w:rFonts w:ascii="Arial" w:hAnsi="Arial" w:cs="Arial"/>
          <w:sz w:val="23"/>
          <w:szCs w:val="23"/>
        </w:rPr>
      </w:pPr>
      <w:r w:rsidRPr="00E0029E">
        <w:rPr>
          <w:rFonts w:ascii="Arial" w:hAnsi="Arial" w:cs="Arial"/>
          <w:sz w:val="23"/>
          <w:szCs w:val="23"/>
        </w:rPr>
        <w:t>There should be no significant break in the normal trading pattern before or immediately after the transfer</w:t>
      </w:r>
    </w:p>
    <w:p w:rsidR="00180060" w:rsidRPr="00E0029E" w:rsidRDefault="00180060" w:rsidP="00180060">
      <w:pPr>
        <w:pStyle w:val="ListParagraph"/>
        <w:shd w:val="clear" w:color="auto" w:fill="FFFFFF"/>
        <w:spacing w:before="75" w:after="150" w:line="312" w:lineRule="atLeast"/>
        <w:ind w:left="765"/>
        <w:rPr>
          <w:rFonts w:ascii="Arial" w:hAnsi="Arial" w:cs="Arial"/>
          <w:sz w:val="23"/>
          <w:szCs w:val="23"/>
        </w:rPr>
      </w:pPr>
    </w:p>
    <w:p w:rsidR="00B1411B" w:rsidRPr="00B1411B" w:rsidRDefault="00180060" w:rsidP="00A66BD4">
      <w:pPr>
        <w:rPr>
          <w:rFonts w:ascii="Arial" w:hAnsi="Arial" w:cs="Arial"/>
          <w:sz w:val="23"/>
          <w:szCs w:val="23"/>
        </w:rPr>
      </w:pPr>
      <w:r w:rsidRPr="00E0029E">
        <w:rPr>
          <w:rFonts w:ascii="Arial" w:hAnsi="Arial" w:cs="Arial"/>
          <w:sz w:val="23"/>
          <w:szCs w:val="23"/>
        </w:rPr>
        <w:t>There are additional consideration</w:t>
      </w:r>
      <w:r w:rsidR="00A66BD4">
        <w:rPr>
          <w:rFonts w:ascii="Arial" w:hAnsi="Arial" w:cs="Arial"/>
          <w:sz w:val="23"/>
          <w:szCs w:val="23"/>
        </w:rPr>
        <w:t>s</w:t>
      </w:r>
      <w:r w:rsidRPr="00E0029E">
        <w:rPr>
          <w:rFonts w:ascii="Arial" w:hAnsi="Arial" w:cs="Arial"/>
          <w:sz w:val="23"/>
          <w:szCs w:val="23"/>
        </w:rPr>
        <w:t xml:space="preserve"> that apply </w:t>
      </w:r>
      <w:r w:rsidR="00A66BD4">
        <w:rPr>
          <w:rFonts w:ascii="Arial" w:hAnsi="Arial" w:cs="Arial"/>
          <w:sz w:val="23"/>
          <w:szCs w:val="23"/>
        </w:rPr>
        <w:t xml:space="preserve">in respect of property being treated as a transfer of going concern. These broadly include matters such as whether the property was built less than 3 years ago, whether there is subsequent re-financing and substantial refurbishment costs for the property. </w:t>
      </w:r>
    </w:p>
    <w:p w:rsidR="0068363D" w:rsidRPr="00B1411B" w:rsidRDefault="00B1411B" w:rsidP="00B1411B">
      <w:pPr>
        <w:shd w:val="clear" w:color="auto" w:fill="FFFFFF"/>
        <w:spacing w:before="175" w:after="175"/>
        <w:rPr>
          <w:rFonts w:ascii="Arial" w:hAnsi="Arial" w:cs="Arial"/>
          <w:sz w:val="23"/>
          <w:szCs w:val="23"/>
        </w:rPr>
      </w:pPr>
      <w:r>
        <w:rPr>
          <w:rFonts w:ascii="Arial" w:hAnsi="Arial" w:cs="Arial"/>
          <w:sz w:val="23"/>
          <w:szCs w:val="23"/>
        </w:rPr>
        <w:t>We cannot advise you whether TOGC should apply her</w:t>
      </w:r>
      <w:r w:rsidR="00A66BD4">
        <w:rPr>
          <w:rFonts w:ascii="Arial" w:hAnsi="Arial" w:cs="Arial"/>
          <w:sz w:val="23"/>
          <w:szCs w:val="23"/>
        </w:rPr>
        <w:t>e</w:t>
      </w:r>
      <w:r>
        <w:rPr>
          <w:rFonts w:ascii="Arial" w:hAnsi="Arial" w:cs="Arial"/>
          <w:sz w:val="23"/>
          <w:szCs w:val="23"/>
        </w:rPr>
        <w:t>, only that it should be explored. I recommend that you obtain</w:t>
      </w:r>
      <w:r w:rsidR="00A66BD4">
        <w:rPr>
          <w:rFonts w:ascii="Arial" w:hAnsi="Arial" w:cs="Arial"/>
          <w:sz w:val="23"/>
          <w:szCs w:val="23"/>
        </w:rPr>
        <w:t xml:space="preserve"> specific advice in this regard and we can pursue that for you if you wish. </w:t>
      </w:r>
    </w:p>
    <w:p w:rsidR="0068363D" w:rsidRPr="00E0029E" w:rsidRDefault="0068363D" w:rsidP="00681A8E">
      <w:pPr>
        <w:rPr>
          <w:rFonts w:ascii="Arial" w:hAnsi="Arial" w:cs="Arial"/>
          <w:sz w:val="23"/>
          <w:szCs w:val="23"/>
        </w:rPr>
      </w:pPr>
    </w:p>
    <w:p w:rsidR="00A4313D" w:rsidRPr="00E0029E" w:rsidRDefault="009F1A26" w:rsidP="00681A8E">
      <w:pPr>
        <w:rPr>
          <w:rFonts w:ascii="Arial" w:hAnsi="Arial" w:cs="Arial"/>
          <w:b/>
          <w:sz w:val="23"/>
          <w:szCs w:val="23"/>
        </w:rPr>
      </w:pPr>
      <w:r w:rsidRPr="00E0029E">
        <w:rPr>
          <w:rFonts w:ascii="Arial" w:hAnsi="Arial" w:cs="Arial"/>
          <w:b/>
          <w:sz w:val="23"/>
          <w:szCs w:val="23"/>
        </w:rPr>
        <w:lastRenderedPageBreak/>
        <w:t>Declaration of Trust</w:t>
      </w:r>
    </w:p>
    <w:p w:rsidR="009F1A26" w:rsidRPr="00E0029E" w:rsidRDefault="009F1A26" w:rsidP="00681A8E">
      <w:pPr>
        <w:rPr>
          <w:rFonts w:ascii="Arial" w:hAnsi="Arial" w:cs="Arial"/>
          <w:sz w:val="23"/>
          <w:szCs w:val="23"/>
        </w:rPr>
      </w:pPr>
    </w:p>
    <w:p w:rsidR="00A4313D" w:rsidRPr="00E0029E" w:rsidRDefault="00A4313D" w:rsidP="00681A8E">
      <w:pPr>
        <w:rPr>
          <w:rFonts w:ascii="Arial" w:hAnsi="Arial" w:cs="Arial"/>
          <w:sz w:val="23"/>
          <w:szCs w:val="23"/>
        </w:rPr>
      </w:pPr>
      <w:r w:rsidRPr="00E0029E">
        <w:rPr>
          <w:rFonts w:ascii="Arial" w:hAnsi="Arial" w:cs="Arial"/>
          <w:sz w:val="23"/>
          <w:szCs w:val="23"/>
        </w:rPr>
        <w:t>I enclose a declaration of trust for signing, this records the pension contribution in kind of £375,000 (plus vat) on 17 March 2016</w:t>
      </w:r>
      <w:r w:rsidR="009F1A26" w:rsidRPr="00E0029E">
        <w:rPr>
          <w:rFonts w:ascii="Arial" w:hAnsi="Arial" w:cs="Arial"/>
          <w:sz w:val="23"/>
          <w:szCs w:val="23"/>
        </w:rPr>
        <w:t>. This will need to be filed at the Land Registry and subject to the restrictions bei</w:t>
      </w:r>
      <w:r w:rsidR="00FA0BBE">
        <w:rPr>
          <w:rFonts w:ascii="Arial" w:hAnsi="Arial" w:cs="Arial"/>
          <w:sz w:val="23"/>
          <w:szCs w:val="23"/>
        </w:rPr>
        <w:t xml:space="preserve">ng addressed by the </w:t>
      </w:r>
      <w:proofErr w:type="spellStart"/>
      <w:r w:rsidR="0081548D">
        <w:rPr>
          <w:rFonts w:ascii="Arial" w:hAnsi="Arial" w:cs="Arial"/>
          <w:sz w:val="23"/>
          <w:szCs w:val="23"/>
        </w:rPr>
        <w:t>c</w:t>
      </w:r>
      <w:r w:rsidR="00FA0BBE">
        <w:rPr>
          <w:rFonts w:ascii="Arial" w:hAnsi="Arial" w:cs="Arial"/>
          <w:sz w:val="23"/>
          <w:szCs w:val="23"/>
        </w:rPr>
        <w:t>onveyancer</w:t>
      </w:r>
      <w:proofErr w:type="spellEnd"/>
      <w:r w:rsidR="00FA0BBE">
        <w:rPr>
          <w:rFonts w:ascii="Arial" w:hAnsi="Arial" w:cs="Arial"/>
          <w:sz w:val="23"/>
          <w:szCs w:val="23"/>
        </w:rPr>
        <w:t xml:space="preserve">. We will need to liaise with the </w:t>
      </w:r>
      <w:proofErr w:type="spellStart"/>
      <w:r w:rsidR="0081548D">
        <w:rPr>
          <w:rFonts w:ascii="Arial" w:hAnsi="Arial" w:cs="Arial"/>
          <w:sz w:val="23"/>
          <w:szCs w:val="23"/>
        </w:rPr>
        <w:t>c</w:t>
      </w:r>
      <w:r w:rsidR="00FA0BBE">
        <w:rPr>
          <w:rFonts w:ascii="Arial" w:hAnsi="Arial" w:cs="Arial"/>
          <w:sz w:val="23"/>
          <w:szCs w:val="23"/>
        </w:rPr>
        <w:t>onveyancer</w:t>
      </w:r>
      <w:proofErr w:type="spellEnd"/>
      <w:r w:rsidR="00FA0BBE">
        <w:rPr>
          <w:rFonts w:ascii="Arial" w:hAnsi="Arial" w:cs="Arial"/>
          <w:sz w:val="23"/>
          <w:szCs w:val="23"/>
        </w:rPr>
        <w:t xml:space="preserve"> the transfer of full title after 5 April the balance of £115,000 and you will need to have the pension scheme account for the SDLT that would be payable.  </w:t>
      </w:r>
      <w:r w:rsidR="009F1A26" w:rsidRPr="00E0029E">
        <w:rPr>
          <w:rFonts w:ascii="Arial" w:hAnsi="Arial" w:cs="Arial"/>
          <w:sz w:val="23"/>
          <w:szCs w:val="23"/>
        </w:rPr>
        <w:t xml:space="preserve"> </w:t>
      </w:r>
    </w:p>
    <w:p w:rsidR="009F1A26" w:rsidRPr="00E0029E" w:rsidRDefault="009F1A26" w:rsidP="00681A8E">
      <w:pPr>
        <w:rPr>
          <w:rFonts w:ascii="Arial" w:hAnsi="Arial" w:cs="Arial"/>
          <w:sz w:val="23"/>
          <w:szCs w:val="23"/>
        </w:rPr>
      </w:pPr>
    </w:p>
    <w:p w:rsidR="009F1A26" w:rsidRPr="00E0029E" w:rsidRDefault="009F1A26" w:rsidP="00681A8E">
      <w:pPr>
        <w:rPr>
          <w:rFonts w:ascii="Arial" w:hAnsi="Arial" w:cs="Arial"/>
          <w:sz w:val="23"/>
          <w:szCs w:val="23"/>
        </w:rPr>
      </w:pPr>
      <w:r w:rsidRPr="00E0029E">
        <w:rPr>
          <w:rFonts w:ascii="Arial" w:hAnsi="Arial" w:cs="Arial"/>
          <w:sz w:val="23"/>
          <w:szCs w:val="23"/>
        </w:rPr>
        <w:t>In the interim, when returning these documents would you please also encl</w:t>
      </w:r>
      <w:r w:rsidR="00B33348" w:rsidRPr="00E0029E">
        <w:rPr>
          <w:rFonts w:ascii="Arial" w:hAnsi="Arial" w:cs="Arial"/>
          <w:sz w:val="23"/>
          <w:szCs w:val="23"/>
        </w:rPr>
        <w:t>ose a cheque for £1</w:t>
      </w:r>
      <w:r w:rsidR="00FA0BBE">
        <w:rPr>
          <w:rFonts w:ascii="Arial" w:hAnsi="Arial" w:cs="Arial"/>
          <w:sz w:val="23"/>
          <w:szCs w:val="23"/>
        </w:rPr>
        <w:t>7</w:t>
      </w:r>
      <w:r w:rsidR="00B33348" w:rsidRPr="00E0029E">
        <w:rPr>
          <w:rFonts w:ascii="Arial" w:hAnsi="Arial" w:cs="Arial"/>
          <w:sz w:val="23"/>
          <w:szCs w:val="23"/>
        </w:rPr>
        <w:t>00 plus VAT for the in-specie transfer</w:t>
      </w:r>
      <w:r w:rsidR="00FA0BBE">
        <w:rPr>
          <w:rFonts w:ascii="Arial" w:hAnsi="Arial" w:cs="Arial"/>
          <w:sz w:val="23"/>
          <w:szCs w:val="23"/>
        </w:rPr>
        <w:t xml:space="preserve"> and VAT registration. </w:t>
      </w:r>
      <w:r w:rsidR="00B33348" w:rsidRPr="00E0029E">
        <w:rPr>
          <w:rFonts w:ascii="Arial" w:hAnsi="Arial" w:cs="Arial"/>
          <w:sz w:val="23"/>
          <w:szCs w:val="23"/>
        </w:rPr>
        <w:t xml:space="preserve">I enclose an invoice in support of this. </w:t>
      </w:r>
    </w:p>
    <w:p w:rsidR="00DE0F2E" w:rsidRPr="00E0029E" w:rsidRDefault="00DE0F2E" w:rsidP="00681A8E">
      <w:pPr>
        <w:rPr>
          <w:rFonts w:ascii="Arial" w:hAnsi="Arial" w:cs="Arial"/>
          <w:sz w:val="23"/>
          <w:szCs w:val="23"/>
        </w:rPr>
      </w:pPr>
    </w:p>
    <w:p w:rsidR="00DE0F2E" w:rsidRPr="00E0029E" w:rsidRDefault="00DE0F2E" w:rsidP="00681A8E">
      <w:pPr>
        <w:rPr>
          <w:rFonts w:ascii="Arial" w:hAnsi="Arial" w:cs="Arial"/>
          <w:sz w:val="23"/>
          <w:szCs w:val="23"/>
        </w:rPr>
      </w:pPr>
      <w:r w:rsidRPr="00E0029E">
        <w:rPr>
          <w:rFonts w:ascii="Arial" w:hAnsi="Arial" w:cs="Arial"/>
          <w:sz w:val="23"/>
          <w:szCs w:val="23"/>
        </w:rPr>
        <w:t xml:space="preserve">Can you please advise whom you wish to undertake the </w:t>
      </w:r>
      <w:r w:rsidR="00FA0BBE" w:rsidRPr="00E0029E">
        <w:rPr>
          <w:rFonts w:ascii="Arial" w:hAnsi="Arial" w:cs="Arial"/>
          <w:sz w:val="23"/>
          <w:szCs w:val="23"/>
        </w:rPr>
        <w:t>conveyance</w:t>
      </w:r>
      <w:r w:rsidRPr="00E0029E">
        <w:rPr>
          <w:rFonts w:ascii="Arial" w:hAnsi="Arial" w:cs="Arial"/>
          <w:sz w:val="23"/>
          <w:szCs w:val="23"/>
        </w:rPr>
        <w:t xml:space="preserve"> and preparation of the subsequent lease for this property.</w:t>
      </w:r>
    </w:p>
    <w:p w:rsidR="00B33348" w:rsidRPr="00E0029E" w:rsidRDefault="00B33348" w:rsidP="00681A8E">
      <w:pPr>
        <w:rPr>
          <w:rFonts w:ascii="Arial" w:hAnsi="Arial" w:cs="Arial"/>
          <w:sz w:val="23"/>
          <w:szCs w:val="23"/>
        </w:rPr>
      </w:pPr>
    </w:p>
    <w:p w:rsidR="00B33348" w:rsidRPr="00E0029E" w:rsidRDefault="00B33348" w:rsidP="00681A8E">
      <w:pPr>
        <w:rPr>
          <w:rFonts w:ascii="Arial" w:hAnsi="Arial" w:cs="Arial"/>
          <w:b/>
          <w:sz w:val="23"/>
          <w:szCs w:val="23"/>
        </w:rPr>
      </w:pPr>
      <w:r w:rsidRPr="00E0029E">
        <w:rPr>
          <w:rFonts w:ascii="Arial" w:hAnsi="Arial" w:cs="Arial"/>
          <w:b/>
          <w:sz w:val="23"/>
          <w:szCs w:val="23"/>
        </w:rPr>
        <w:t>VAT Registration</w:t>
      </w:r>
    </w:p>
    <w:p w:rsidR="00B33348" w:rsidRPr="00E0029E" w:rsidRDefault="00B33348" w:rsidP="00681A8E">
      <w:pPr>
        <w:rPr>
          <w:rFonts w:ascii="Arial" w:hAnsi="Arial" w:cs="Arial"/>
          <w:sz w:val="23"/>
          <w:szCs w:val="23"/>
        </w:rPr>
      </w:pPr>
    </w:p>
    <w:p w:rsidR="00B33348" w:rsidRPr="00E0029E" w:rsidRDefault="00B33348" w:rsidP="00681A8E">
      <w:pPr>
        <w:rPr>
          <w:rFonts w:ascii="Arial" w:hAnsi="Arial" w:cs="Arial"/>
          <w:sz w:val="23"/>
          <w:szCs w:val="23"/>
        </w:rPr>
      </w:pPr>
      <w:r w:rsidRPr="00E0029E">
        <w:rPr>
          <w:rFonts w:ascii="Arial" w:hAnsi="Arial" w:cs="Arial"/>
          <w:sz w:val="23"/>
          <w:szCs w:val="23"/>
        </w:rPr>
        <w:t>I enclosed a pre-prepared VAT1 form herewith, would you please have a read through this, in particular the part relating to your personal data and let me know of any corrections. I will then submit this online so that the application is in with HMRC for registration.</w:t>
      </w:r>
    </w:p>
    <w:p w:rsidR="00B33348" w:rsidRPr="00E0029E" w:rsidRDefault="00B33348" w:rsidP="00681A8E">
      <w:pPr>
        <w:rPr>
          <w:rFonts w:ascii="Arial" w:hAnsi="Arial" w:cs="Arial"/>
          <w:sz w:val="23"/>
          <w:szCs w:val="23"/>
        </w:rPr>
      </w:pPr>
    </w:p>
    <w:p w:rsidR="00B33348" w:rsidRPr="00E0029E" w:rsidRDefault="00B33348" w:rsidP="00681A8E">
      <w:pPr>
        <w:rPr>
          <w:rFonts w:ascii="Arial" w:hAnsi="Arial" w:cs="Arial"/>
          <w:sz w:val="23"/>
          <w:szCs w:val="23"/>
        </w:rPr>
      </w:pPr>
      <w:r w:rsidRPr="00E0029E">
        <w:rPr>
          <w:rFonts w:ascii="Arial" w:hAnsi="Arial" w:cs="Arial"/>
          <w:sz w:val="23"/>
          <w:szCs w:val="23"/>
        </w:rPr>
        <w:t>Yours sincerely</w:t>
      </w:r>
    </w:p>
    <w:p w:rsidR="00B33348" w:rsidRPr="00E0029E" w:rsidRDefault="00B33348" w:rsidP="00681A8E">
      <w:pPr>
        <w:rPr>
          <w:rFonts w:ascii="Arial" w:hAnsi="Arial" w:cs="Arial"/>
          <w:sz w:val="23"/>
          <w:szCs w:val="23"/>
        </w:rPr>
      </w:pPr>
    </w:p>
    <w:p w:rsidR="00B33348" w:rsidRPr="00E0029E" w:rsidRDefault="00B33348" w:rsidP="00681A8E">
      <w:pPr>
        <w:rPr>
          <w:rFonts w:ascii="Arial" w:hAnsi="Arial" w:cs="Arial"/>
          <w:sz w:val="23"/>
          <w:szCs w:val="23"/>
        </w:rPr>
      </w:pPr>
    </w:p>
    <w:p w:rsidR="00A4313D" w:rsidRPr="00E0029E" w:rsidRDefault="00B33348" w:rsidP="00681A8E">
      <w:pPr>
        <w:rPr>
          <w:rFonts w:ascii="Arial" w:hAnsi="Arial" w:cs="Arial"/>
          <w:b/>
          <w:sz w:val="23"/>
          <w:szCs w:val="23"/>
        </w:rPr>
      </w:pPr>
      <w:r w:rsidRPr="00E0029E">
        <w:rPr>
          <w:rFonts w:ascii="Arial" w:hAnsi="Arial" w:cs="Arial"/>
          <w:sz w:val="23"/>
          <w:szCs w:val="23"/>
        </w:rPr>
        <w:t>Gavin McCloskey</w:t>
      </w:r>
    </w:p>
    <w:p w:rsidR="00681A8E" w:rsidRPr="00E0029E" w:rsidRDefault="00681A8E" w:rsidP="00681A8E">
      <w:pPr>
        <w:rPr>
          <w:rFonts w:ascii="Arial" w:hAnsi="Arial" w:cs="Arial"/>
          <w:b/>
          <w:sz w:val="23"/>
          <w:szCs w:val="23"/>
        </w:rPr>
      </w:pPr>
      <w:r w:rsidRPr="00E0029E">
        <w:rPr>
          <w:rFonts w:ascii="Arial" w:hAnsi="Arial" w:cs="Arial"/>
          <w:b/>
          <w:sz w:val="23"/>
          <w:szCs w:val="23"/>
        </w:rPr>
        <w:t>For Pension Practitioner. Com</w:t>
      </w:r>
    </w:p>
    <w:p w:rsidR="00DA268C" w:rsidRPr="00E0029E" w:rsidRDefault="00DA268C" w:rsidP="00454A96">
      <w:pPr>
        <w:rPr>
          <w:rFonts w:ascii="Arial" w:hAnsi="Arial" w:cs="Arial"/>
          <w:sz w:val="23"/>
          <w:szCs w:val="23"/>
        </w:rPr>
      </w:pPr>
    </w:p>
    <w:p w:rsidR="00681A8E" w:rsidRPr="00E0029E" w:rsidRDefault="00681A8E" w:rsidP="00454A96">
      <w:pPr>
        <w:rPr>
          <w:rFonts w:ascii="Arial" w:hAnsi="Arial" w:cs="Arial"/>
          <w:sz w:val="23"/>
          <w:szCs w:val="23"/>
        </w:rPr>
      </w:pPr>
      <w:r w:rsidRPr="00E0029E">
        <w:rPr>
          <w:rFonts w:ascii="Arial" w:hAnsi="Arial" w:cs="Arial"/>
          <w:sz w:val="23"/>
          <w:szCs w:val="23"/>
        </w:rPr>
        <w:t>Enc.</w:t>
      </w:r>
    </w:p>
    <w:sectPr w:rsidR="00681A8E" w:rsidRPr="00E0029E"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BD4" w:rsidRDefault="00A66BD4">
      <w:r>
        <w:separator/>
      </w:r>
    </w:p>
  </w:endnote>
  <w:endnote w:type="continuationSeparator" w:id="0">
    <w:p w:rsidR="00A66BD4" w:rsidRDefault="00A66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D4" w:rsidRDefault="00A66BD4" w:rsidP="005C46FE">
    <w:pPr>
      <w:pStyle w:val="Footer"/>
      <w:jc w:val="center"/>
      <w:rPr>
        <w:rFonts w:ascii="Helvetica" w:hAnsi="Helvetica" w:cs="Helvetica"/>
        <w:color w:val="221E1F"/>
        <w:sz w:val="20"/>
        <w:szCs w:val="20"/>
      </w:rPr>
    </w:pPr>
    <w:r w:rsidRPr="005C46FE">
      <w:rPr>
        <w:rFonts w:ascii="Helvetica" w:hAnsi="Helvetica" w:cs="Helvetica"/>
        <w:sz w:val="20"/>
        <w:szCs w:val="20"/>
        <w:lang/>
      </w:rPr>
      <w:t>Daws House, 33-35 Daws Lane, London. NW7 4SD</w:t>
    </w:r>
    <w:r w:rsidRPr="005C46FE">
      <w:rPr>
        <w:rFonts w:ascii="Helvetica" w:hAnsi="Helvetica" w:cs="Helvetica"/>
        <w:sz w:val="20"/>
        <w:szCs w:val="20"/>
        <w:lang/>
      </w:rPr>
      <w:br/>
    </w:r>
    <w:r w:rsidRPr="005C46FE">
      <w:rPr>
        <w:rFonts w:ascii="Helvetica" w:hAnsi="Helvetica" w:cs="Helvetica"/>
        <w:color w:val="221E1F"/>
        <w:sz w:val="20"/>
        <w:szCs w:val="20"/>
      </w:rPr>
      <w:t>Registered in England No: 6028668; VAT Reg No: 894312018</w:t>
    </w:r>
  </w:p>
  <w:p w:rsidR="00A66BD4" w:rsidRPr="005C46FE" w:rsidRDefault="00A66BD4" w:rsidP="005C46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BD4" w:rsidRDefault="00A66BD4">
      <w:r>
        <w:separator/>
      </w:r>
    </w:p>
  </w:footnote>
  <w:footnote w:type="continuationSeparator" w:id="0">
    <w:p w:rsidR="00A66BD4" w:rsidRDefault="00A66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D4" w:rsidRDefault="00A66BD4">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6866911"/>
    <w:multiLevelType w:val="hybridMultilevel"/>
    <w:tmpl w:val="111470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1C46676C"/>
    <w:multiLevelType w:val="multilevel"/>
    <w:tmpl w:val="C9AE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295CE0"/>
    <w:multiLevelType w:val="hybridMultilevel"/>
    <w:tmpl w:val="284AF59E"/>
    <w:lvl w:ilvl="0" w:tplc="0074A66C">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nsid w:val="46DE07F8"/>
    <w:multiLevelType w:val="multilevel"/>
    <w:tmpl w:val="E39C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6E90368"/>
    <w:multiLevelType w:val="multilevel"/>
    <w:tmpl w:val="B0D8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931B2C"/>
    <w:multiLevelType w:val="multilevel"/>
    <w:tmpl w:val="49FE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rsids>
    <w:rsidRoot w:val="00DA268C"/>
    <w:rsid w:val="000534A1"/>
    <w:rsid w:val="000C580E"/>
    <w:rsid w:val="00163422"/>
    <w:rsid w:val="00180060"/>
    <w:rsid w:val="001D1E08"/>
    <w:rsid w:val="001E0486"/>
    <w:rsid w:val="00276386"/>
    <w:rsid w:val="00286C07"/>
    <w:rsid w:val="00392F07"/>
    <w:rsid w:val="00393631"/>
    <w:rsid w:val="00395679"/>
    <w:rsid w:val="00454A96"/>
    <w:rsid w:val="004A15FC"/>
    <w:rsid w:val="004B35B8"/>
    <w:rsid w:val="004F3DAF"/>
    <w:rsid w:val="005C46FE"/>
    <w:rsid w:val="005F240A"/>
    <w:rsid w:val="005F2713"/>
    <w:rsid w:val="0066680A"/>
    <w:rsid w:val="00681A8E"/>
    <w:rsid w:val="0068363D"/>
    <w:rsid w:val="006A4894"/>
    <w:rsid w:val="00701F7E"/>
    <w:rsid w:val="007A43EC"/>
    <w:rsid w:val="007E3BC3"/>
    <w:rsid w:val="007E5295"/>
    <w:rsid w:val="007E5CBB"/>
    <w:rsid w:val="0081548D"/>
    <w:rsid w:val="00845379"/>
    <w:rsid w:val="00851423"/>
    <w:rsid w:val="008B640D"/>
    <w:rsid w:val="009A01EA"/>
    <w:rsid w:val="009E2907"/>
    <w:rsid w:val="009F1A26"/>
    <w:rsid w:val="00A0770F"/>
    <w:rsid w:val="00A215F2"/>
    <w:rsid w:val="00A4313D"/>
    <w:rsid w:val="00A66BD4"/>
    <w:rsid w:val="00B1411B"/>
    <w:rsid w:val="00B33348"/>
    <w:rsid w:val="00B46226"/>
    <w:rsid w:val="00BB075F"/>
    <w:rsid w:val="00C06813"/>
    <w:rsid w:val="00C25AB3"/>
    <w:rsid w:val="00C40937"/>
    <w:rsid w:val="00CE3F69"/>
    <w:rsid w:val="00D229AB"/>
    <w:rsid w:val="00D52208"/>
    <w:rsid w:val="00D81439"/>
    <w:rsid w:val="00DA268C"/>
    <w:rsid w:val="00DB0612"/>
    <w:rsid w:val="00DE0F2E"/>
    <w:rsid w:val="00E0029E"/>
    <w:rsid w:val="00E151EF"/>
    <w:rsid w:val="00E44BBD"/>
    <w:rsid w:val="00E53030"/>
    <w:rsid w:val="00E7203E"/>
    <w:rsid w:val="00EC5B4F"/>
    <w:rsid w:val="00F84FFC"/>
    <w:rsid w:val="00FA0BBE"/>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paragraph" w:styleId="Heading2">
    <w:name w:val="heading 2"/>
    <w:basedOn w:val="Normal"/>
    <w:link w:val="Heading2Char"/>
    <w:uiPriority w:val="9"/>
    <w:qFormat/>
    <w:rsid w:val="00701F7E"/>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 w:type="paragraph" w:styleId="NormalWeb">
    <w:name w:val="Normal (Web)"/>
    <w:basedOn w:val="Normal"/>
    <w:uiPriority w:val="99"/>
    <w:semiHidden/>
    <w:unhideWhenUsed/>
    <w:rsid w:val="008B640D"/>
    <w:pPr>
      <w:spacing w:before="100" w:beforeAutospacing="1" w:after="100" w:afterAutospacing="1"/>
    </w:pPr>
    <w:rPr>
      <w:rFonts w:ascii="Times New Roman" w:eastAsia="Times New Roman" w:hAnsi="Times New Roman" w:cs="Times New Roman"/>
      <w:lang w:val="en-GB" w:eastAsia="en-GB"/>
    </w:rPr>
  </w:style>
  <w:style w:type="character" w:customStyle="1" w:styleId="Heading2Char">
    <w:name w:val="Heading 2 Char"/>
    <w:basedOn w:val="DefaultParagraphFont"/>
    <w:link w:val="Heading2"/>
    <w:uiPriority w:val="9"/>
    <w:rsid w:val="00701F7E"/>
    <w:rPr>
      <w:rFonts w:ascii="Times New Roman" w:eastAsia="Times New Roman" w:hAnsi="Times New Roman" w:cs="Times New Roman"/>
      <w:b/>
      <w:bCs/>
      <w:sz w:val="36"/>
      <w:szCs w:val="36"/>
      <w:lang w:val="en-GB" w:eastAsia="en-GB"/>
    </w:rPr>
  </w:style>
  <w:style w:type="character" w:customStyle="1" w:styleId="apple-converted-space">
    <w:name w:val="apple-converted-space"/>
    <w:basedOn w:val="DefaultParagraphFont"/>
    <w:rsid w:val="00701F7E"/>
  </w:style>
  <w:style w:type="character" w:styleId="Hyperlink">
    <w:name w:val="Hyperlink"/>
    <w:basedOn w:val="DefaultParagraphFont"/>
    <w:uiPriority w:val="99"/>
    <w:semiHidden/>
    <w:unhideWhenUsed/>
    <w:rsid w:val="00180060"/>
    <w:rPr>
      <w:color w:val="0000FF"/>
      <w:u w:val="single"/>
    </w:rPr>
  </w:style>
</w:styles>
</file>

<file path=word/webSettings.xml><?xml version="1.0" encoding="utf-8"?>
<w:webSettings xmlns:r="http://schemas.openxmlformats.org/officeDocument/2006/relationships" xmlns:w="http://schemas.openxmlformats.org/wordprocessingml/2006/main">
  <w:divs>
    <w:div w:id="67390967">
      <w:bodyDiv w:val="1"/>
      <w:marLeft w:val="0"/>
      <w:marRight w:val="0"/>
      <w:marTop w:val="0"/>
      <w:marBottom w:val="0"/>
      <w:divBdr>
        <w:top w:val="none" w:sz="0" w:space="0" w:color="auto"/>
        <w:left w:val="none" w:sz="0" w:space="0" w:color="auto"/>
        <w:bottom w:val="none" w:sz="0" w:space="0" w:color="auto"/>
        <w:right w:val="none" w:sz="0" w:space="0" w:color="auto"/>
      </w:divBdr>
    </w:div>
    <w:div w:id="162935283">
      <w:bodyDiv w:val="1"/>
      <w:marLeft w:val="0"/>
      <w:marRight w:val="0"/>
      <w:marTop w:val="0"/>
      <w:marBottom w:val="0"/>
      <w:divBdr>
        <w:top w:val="none" w:sz="0" w:space="0" w:color="auto"/>
        <w:left w:val="none" w:sz="0" w:space="0" w:color="auto"/>
        <w:bottom w:val="none" w:sz="0" w:space="0" w:color="auto"/>
        <w:right w:val="none" w:sz="0" w:space="0" w:color="auto"/>
      </w:divBdr>
    </w:div>
    <w:div w:id="377508895">
      <w:bodyDiv w:val="1"/>
      <w:marLeft w:val="0"/>
      <w:marRight w:val="0"/>
      <w:marTop w:val="0"/>
      <w:marBottom w:val="0"/>
      <w:divBdr>
        <w:top w:val="none" w:sz="0" w:space="0" w:color="auto"/>
        <w:left w:val="none" w:sz="0" w:space="0" w:color="auto"/>
        <w:bottom w:val="none" w:sz="0" w:space="0" w:color="auto"/>
        <w:right w:val="none" w:sz="0" w:space="0" w:color="auto"/>
      </w:divBdr>
    </w:div>
    <w:div w:id="635068525">
      <w:bodyDiv w:val="1"/>
      <w:marLeft w:val="0"/>
      <w:marRight w:val="0"/>
      <w:marTop w:val="0"/>
      <w:marBottom w:val="0"/>
      <w:divBdr>
        <w:top w:val="none" w:sz="0" w:space="0" w:color="auto"/>
        <w:left w:val="none" w:sz="0" w:space="0" w:color="auto"/>
        <w:bottom w:val="none" w:sz="0" w:space="0" w:color="auto"/>
        <w:right w:val="none" w:sz="0" w:space="0" w:color="auto"/>
      </w:divBdr>
    </w:div>
    <w:div w:id="1575431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Gavin McCloskey</cp:lastModifiedBy>
  <cp:revision>4</cp:revision>
  <cp:lastPrinted>2015-11-24T10:37:00Z</cp:lastPrinted>
  <dcterms:created xsi:type="dcterms:W3CDTF">2016-03-16T19:54:00Z</dcterms:created>
  <dcterms:modified xsi:type="dcterms:W3CDTF">2016-03-16T22:18:00Z</dcterms:modified>
</cp:coreProperties>
</file>