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bookmarkStart w:id="0" w:name="_GoBack"/>
      <w:bookmarkEnd w:id="0"/>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E045C6" w:rsidRDefault="00582EA0" w:rsidP="007F23D0">
      <w:pPr>
        <w:pStyle w:val="BodyText"/>
        <w:ind w:right="40"/>
        <w:rPr>
          <w:rFonts w:ascii="Times New Roman"/>
          <w:sz w:val="20"/>
        </w:rPr>
      </w:pPr>
      <w:r w:rsidRPr="00582EA0">
        <w:rPr>
          <w:b/>
          <w:bCs/>
          <w:sz w:val="48"/>
          <w:szCs w:val="48"/>
        </w:rPr>
        <w:t>PDR Group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Pr="00E1136E" w:rsidRDefault="00E1136E" w:rsidP="007F23D0">
      <w:pPr>
        <w:pStyle w:val="BodyText"/>
        <w:spacing w:before="317"/>
        <w:ind w:right="40"/>
        <w:jc w:val="right"/>
        <w:rPr>
          <w:b/>
          <w:color w:val="92CDDC" w:themeColor="accent5" w:themeTint="99"/>
        </w:rPr>
      </w:pPr>
      <w:r w:rsidRPr="00E1136E">
        <w:rPr>
          <w:b/>
          <w:color w:val="92CDDC" w:themeColor="accent5" w:themeTint="99"/>
        </w:rPr>
        <w:t>Gavin A. McCloskey</w:t>
      </w:r>
      <w:r w:rsidRPr="00E1136E">
        <w:rPr>
          <w:b/>
          <w:color w:val="92CDDC" w:themeColor="accent5" w:themeTint="99"/>
        </w:rPr>
        <w:br/>
        <w:t>Scheme SSAS Consultant</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lastRenderedPageBreak/>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r w:rsidR="00667D1B">
        <w:rPr>
          <w:sz w:val="28"/>
          <w:szCs w:val="28"/>
        </w:rPr>
        <w:t>/19</w:t>
      </w:r>
    </w:p>
    <w:p w:rsidR="00DF1CFF" w:rsidRPr="00AC3193" w:rsidRDefault="00DF1CFF"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A277BA">
      <w:pPr>
        <w:pStyle w:val="BodyText"/>
        <w:spacing w:before="2"/>
        <w:ind w:left="567" w:right="40"/>
        <w:rPr>
          <w:sz w:val="12"/>
        </w:rPr>
      </w:pPr>
    </w:p>
    <w:p w:rsidR="00E045C6" w:rsidRDefault="00A277BA" w:rsidP="00A277BA">
      <w:pPr>
        <w:pStyle w:val="Heading1"/>
        <w:tabs>
          <w:tab w:val="left" w:pos="1134"/>
        </w:tabs>
        <w:ind w:left="567" w:right="40" w:firstLine="0"/>
      </w:pPr>
      <w:r>
        <w:rPr>
          <w:color w:val="1FAED5"/>
        </w:rPr>
        <w:t>1.</w:t>
      </w:r>
      <w:r w:rsidR="00986DAD">
        <w:rPr>
          <w:color w:val="1FAED5"/>
        </w:rPr>
        <w:t>Introduction</w:t>
      </w:r>
    </w:p>
    <w:p w:rsidR="00E045C6" w:rsidRDefault="00E045C6" w:rsidP="00A277BA">
      <w:pPr>
        <w:pStyle w:val="BodyText"/>
        <w:spacing w:before="10"/>
        <w:ind w:left="567" w:right="40"/>
        <w:rPr>
          <w:b/>
          <w:sz w:val="59"/>
        </w:rPr>
      </w:pPr>
    </w:p>
    <w:p w:rsidR="00D87C6B" w:rsidRDefault="00D87C6B" w:rsidP="00A277BA">
      <w:pPr>
        <w:pStyle w:val="BodyText"/>
        <w:spacing w:line="276" w:lineRule="auto"/>
        <w:ind w:left="567" w:right="40"/>
        <w:jc w:val="both"/>
      </w:pPr>
      <w:r>
        <w:t xml:space="preserve">Dear </w:t>
      </w:r>
      <w:r w:rsidR="00582EA0" w:rsidRPr="00582EA0">
        <w:t>Rajesh</w:t>
      </w:r>
      <w:r w:rsidR="00582EA0">
        <w:t xml:space="preserve"> and </w:t>
      </w:r>
      <w:proofErr w:type="spellStart"/>
      <w:r w:rsidR="00582EA0">
        <w:t>Punam</w:t>
      </w:r>
      <w:proofErr w:type="spellEnd"/>
      <w:r w:rsidR="00582EA0">
        <w:t>,</w:t>
      </w:r>
    </w:p>
    <w:p w:rsidR="00D87C6B" w:rsidRDefault="00D87C6B" w:rsidP="00A277BA">
      <w:pPr>
        <w:pStyle w:val="BodyText"/>
        <w:spacing w:line="276" w:lineRule="auto"/>
        <w:ind w:left="567" w:right="40"/>
        <w:jc w:val="both"/>
      </w:pPr>
    </w:p>
    <w:p w:rsidR="00E045C6" w:rsidRDefault="00E1136E" w:rsidP="00A277BA">
      <w:pPr>
        <w:pStyle w:val="BodyText"/>
        <w:spacing w:line="276" w:lineRule="auto"/>
        <w:ind w:left="567" w:right="40"/>
        <w:jc w:val="both"/>
      </w:pPr>
      <w:r>
        <w:t xml:space="preserve">I am pleased to enclose our new </w:t>
      </w:r>
      <w:r w:rsidR="00F34D50">
        <w:t xml:space="preserve">look </w:t>
      </w:r>
      <w:r>
        <w:t>annual trustee report for your scheme.</w:t>
      </w:r>
    </w:p>
    <w:p w:rsidR="00E1136E" w:rsidRDefault="00E1136E" w:rsidP="00A277BA">
      <w:pPr>
        <w:pStyle w:val="BodyText"/>
        <w:spacing w:line="276" w:lineRule="auto"/>
        <w:ind w:left="567" w:right="40"/>
        <w:jc w:val="both"/>
      </w:pPr>
    </w:p>
    <w:p w:rsidR="00E1136E" w:rsidRDefault="00E1136E" w:rsidP="00A277BA">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A277BA">
      <w:pPr>
        <w:pStyle w:val="BodyText"/>
        <w:spacing w:line="276" w:lineRule="auto"/>
        <w:ind w:left="567" w:right="40"/>
        <w:jc w:val="both"/>
      </w:pPr>
    </w:p>
    <w:p w:rsidR="00F34D50" w:rsidRDefault="00692426" w:rsidP="00A277BA">
      <w:pPr>
        <w:pStyle w:val="BodyText"/>
        <w:spacing w:line="276" w:lineRule="auto"/>
        <w:ind w:left="567" w:right="40"/>
        <w:jc w:val="both"/>
      </w:pPr>
      <w:r>
        <w:t>I</w:t>
      </w:r>
      <w:r w:rsidR="00F34D50">
        <w:t xml:space="preserve"> have prepared </w:t>
      </w:r>
      <w:r w:rsidR="00600CA6">
        <w:t xml:space="preserve">a </w:t>
      </w:r>
      <w:r w:rsidR="00F34D50">
        <w:t>benefit statement and can of course tailor this according to your needs and planning requirements.</w:t>
      </w:r>
    </w:p>
    <w:p w:rsidR="00F34D50" w:rsidRDefault="00F34D50" w:rsidP="00A277BA">
      <w:pPr>
        <w:pStyle w:val="BodyText"/>
        <w:spacing w:line="276" w:lineRule="auto"/>
        <w:ind w:left="567" w:right="40"/>
        <w:jc w:val="both"/>
      </w:pPr>
    </w:p>
    <w:p w:rsidR="00F34D50" w:rsidRDefault="00600CA6" w:rsidP="00A277BA">
      <w:pPr>
        <w:pStyle w:val="BodyText"/>
        <w:spacing w:line="276" w:lineRule="auto"/>
        <w:ind w:left="567" w:right="40"/>
        <w:jc w:val="both"/>
      </w:pPr>
      <w:r>
        <w:t>I</w:t>
      </w:r>
      <w:r w:rsidR="00F34D50">
        <w:t xml:space="preserve"> also attach with our compliments our most recent newsletter, which contains our latest thinking and articles around both pension and protection planning. </w:t>
      </w:r>
    </w:p>
    <w:p w:rsidR="00F34D50" w:rsidRDefault="00F34D50" w:rsidP="00A277BA">
      <w:pPr>
        <w:pStyle w:val="BodyText"/>
        <w:spacing w:line="276" w:lineRule="auto"/>
        <w:ind w:left="567" w:right="40"/>
        <w:jc w:val="both"/>
      </w:pPr>
    </w:p>
    <w:p w:rsidR="00E045C6" w:rsidRDefault="00986DAD" w:rsidP="00A277BA">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A277BA" w:rsidP="00A277BA">
      <w:pPr>
        <w:pStyle w:val="Heading1"/>
        <w:tabs>
          <w:tab w:val="left" w:pos="1134"/>
        </w:tabs>
        <w:ind w:left="567" w:right="40" w:firstLine="0"/>
      </w:pPr>
      <w:r>
        <w:rPr>
          <w:color w:val="1FAED5"/>
        </w:rPr>
        <w:t>2.</w:t>
      </w:r>
      <w:r w:rsidR="00F34D50">
        <w:rPr>
          <w:color w:val="1FAED5"/>
        </w:rPr>
        <w:t>Fund Composition</w:t>
      </w:r>
    </w:p>
    <w:p w:rsidR="00F34D50" w:rsidRDefault="00F34D50" w:rsidP="007F23D0">
      <w:pPr>
        <w:pStyle w:val="Heading1"/>
        <w:tabs>
          <w:tab w:val="left" w:pos="1600"/>
          <w:tab w:val="left" w:pos="1601"/>
        </w:tabs>
        <w:ind w:right="40" w:firstLine="0"/>
      </w:pPr>
    </w:p>
    <w:p w:rsidR="00F34D50" w:rsidRPr="00F34D50" w:rsidRDefault="00C60838" w:rsidP="00A277BA">
      <w:pPr>
        <w:pStyle w:val="Heading1"/>
        <w:ind w:left="567" w:right="40" w:firstLine="0"/>
      </w:pPr>
      <w:r>
        <w:rPr>
          <w:noProof/>
          <w:lang w:bidi="ar-SA"/>
        </w:rPr>
        <w:drawing>
          <wp:inline distT="0" distB="0" distL="0" distR="0" wp14:anchorId="71FECF28" wp14:editId="6E9A9182">
            <wp:extent cx="5426075" cy="2926080"/>
            <wp:effectExtent l="0" t="0" r="3175" b="762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F34D50" w:rsidRDefault="00C8056E" w:rsidP="007F23D0">
      <w:pPr>
        <w:pStyle w:val="Heading1"/>
        <w:ind w:left="567" w:right="40" w:firstLine="0"/>
        <w:jc w:val="both"/>
        <w:rPr>
          <w:b w:val="0"/>
          <w:sz w:val="24"/>
          <w:szCs w:val="24"/>
        </w:rPr>
      </w:pPr>
      <w:r>
        <w:rPr>
          <w:b w:val="0"/>
          <w:sz w:val="24"/>
          <w:szCs w:val="24"/>
        </w:rPr>
        <w:t>The Trustees hold no scheme borrowings and none of the holdings are in companies connected to the trustees.</w:t>
      </w:r>
    </w:p>
    <w:p w:rsidR="00C60838" w:rsidRDefault="00C60838" w:rsidP="007F23D0">
      <w:pPr>
        <w:pStyle w:val="Heading1"/>
        <w:ind w:left="567" w:right="40" w:firstLine="0"/>
        <w:jc w:val="both"/>
        <w:rPr>
          <w:b w:val="0"/>
          <w:sz w:val="24"/>
          <w:szCs w:val="24"/>
        </w:rPr>
      </w:pPr>
    </w:p>
    <w:p w:rsidR="00C60838" w:rsidRDefault="00C60838" w:rsidP="007F23D0">
      <w:pPr>
        <w:pStyle w:val="Heading1"/>
        <w:ind w:left="567" w:right="40" w:firstLine="0"/>
        <w:jc w:val="both"/>
        <w:rPr>
          <w:b w:val="0"/>
          <w:sz w:val="24"/>
          <w:szCs w:val="24"/>
        </w:rPr>
      </w:pPr>
      <w:r>
        <w:rPr>
          <w:b w:val="0"/>
          <w:sz w:val="24"/>
          <w:szCs w:val="24"/>
        </w:rPr>
        <w:t>Cash at bank is less than 1% of the fund.</w:t>
      </w: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Pr="00A277BA" w:rsidRDefault="00667D1B" w:rsidP="00A277BA">
      <w:pPr>
        <w:tabs>
          <w:tab w:val="left" w:pos="1134"/>
        </w:tabs>
        <w:spacing w:before="84"/>
        <w:ind w:left="567" w:right="40"/>
        <w:rPr>
          <w:b/>
          <w:sz w:val="48"/>
        </w:rPr>
      </w:pPr>
      <w:r>
        <w:rPr>
          <w:b/>
          <w:color w:val="1FAED5"/>
          <w:sz w:val="48"/>
        </w:rPr>
        <w:t>3</w:t>
      </w:r>
      <w:r w:rsidR="00A277BA">
        <w:rPr>
          <w:b/>
          <w:color w:val="1FAED5"/>
          <w:sz w:val="48"/>
        </w:rPr>
        <w:t>.</w:t>
      </w:r>
      <w:r w:rsidR="00BD1A4E" w:rsidRPr="00A277BA">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0A72D5" w:rsidRDefault="000A72D5" w:rsidP="007F23D0">
      <w:pPr>
        <w:pStyle w:val="BodyText"/>
        <w:spacing w:line="276" w:lineRule="auto"/>
        <w:ind w:left="567" w:right="40"/>
        <w:jc w:val="both"/>
      </w:pPr>
    </w:p>
    <w:p w:rsidR="000A72D5" w:rsidRDefault="000A72D5" w:rsidP="007F23D0">
      <w:pPr>
        <w:pStyle w:val="BodyText"/>
        <w:spacing w:line="276" w:lineRule="auto"/>
        <w:ind w:left="567" w:right="40"/>
        <w:jc w:val="both"/>
      </w:pPr>
      <w:r>
        <w:t>The following data has been submitted</w:t>
      </w:r>
    </w:p>
    <w:p w:rsidR="00C8056E" w:rsidRPr="00C8056E" w:rsidRDefault="00C8056E" w:rsidP="00C8056E">
      <w:pPr>
        <w:pStyle w:val="BodyText"/>
        <w:spacing w:line="276" w:lineRule="auto"/>
        <w:ind w:left="567" w:right="40"/>
        <w:jc w:val="both"/>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07"/>
        <w:gridCol w:w="89"/>
        <w:gridCol w:w="486"/>
        <w:gridCol w:w="95"/>
        <w:gridCol w:w="4862"/>
      </w:tblGrid>
      <w:tr w:rsidR="00F75B22" w:rsidRPr="00F75B22" w:rsidTr="00F75B22">
        <w:trPr>
          <w:tblCellSpacing w:w="15" w:type="dxa"/>
        </w:trPr>
        <w:tc>
          <w:tcPr>
            <w:tcW w:w="2444"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Pension Scheme Tax Reference</w:t>
            </w:r>
          </w:p>
        </w:tc>
        <w:tc>
          <w:tcPr>
            <w:tcW w:w="244" w:type="pct"/>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00786626RY</w:t>
            </w:r>
          </w:p>
        </w:tc>
      </w:tr>
      <w:tr w:rsidR="00F75B22" w:rsidRPr="00F75B22" w:rsidTr="00F75B22">
        <w:trPr>
          <w:tblCellSpacing w:w="15" w:type="dxa"/>
        </w:trPr>
        <w:tc>
          <w:tcPr>
            <w:tcW w:w="0" w:type="auto"/>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Pension Scheme Name</w:t>
            </w: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gridSpan w:val="2"/>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PDR Group Pension Scheme</w:t>
            </w:r>
          </w:p>
        </w:tc>
      </w:tr>
      <w:tr w:rsidR="00F75B22" w:rsidRPr="00F75B22" w:rsidTr="00F75B22">
        <w:trPr>
          <w:tblCellSpacing w:w="15" w:type="dxa"/>
        </w:trPr>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Is the scheme an Occupational scheme?</w:t>
            </w: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Yes</w:t>
            </w:r>
          </w:p>
        </w:tc>
      </w:tr>
      <w:tr w:rsidR="00F75B22" w:rsidRPr="00F75B22" w:rsidTr="00F75B22">
        <w:trPr>
          <w:tblCellSpacing w:w="15" w:type="dxa"/>
        </w:trPr>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Tax Year ended</w:t>
            </w: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05 Apr 2017</w:t>
            </w:r>
          </w:p>
        </w:tc>
      </w:tr>
      <w:tr w:rsidR="00F75B22" w:rsidRPr="00F75B22" w:rsidTr="00F75B22">
        <w:trPr>
          <w:tblCellSpacing w:w="15" w:type="dxa"/>
        </w:trPr>
        <w:tc>
          <w:tcPr>
            <w:tcW w:w="2472" w:type="pct"/>
            <w:gridSpan w:val="2"/>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During this period, was the aggregate of payments to and from the scheme greater than £100,000?</w:t>
            </w:r>
          </w:p>
        </w:tc>
        <w:tc>
          <w:tcPr>
            <w:tcW w:w="247" w:type="pct"/>
            <w:gridSpan w:val="2"/>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No</w:t>
            </w:r>
          </w:p>
        </w:tc>
      </w:tr>
      <w:tr w:rsidR="00F75B22" w:rsidRPr="00F75B22" w:rsidTr="00F75B22">
        <w:trPr>
          <w:tblCellSpacing w:w="15" w:type="dxa"/>
        </w:trPr>
        <w:tc>
          <w:tcPr>
            <w:tcW w:w="2472" w:type="pct"/>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Specify the aggregate of payments to and from the scheme</w:t>
            </w:r>
          </w:p>
        </w:tc>
        <w:tc>
          <w:tcPr>
            <w:tcW w:w="0" w:type="auto"/>
            <w:gridSpan w:val="2"/>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£35265</w:t>
            </w:r>
          </w:p>
        </w:tc>
      </w:tr>
    </w:tbl>
    <w:p w:rsidR="00F75B22" w:rsidRPr="00F75B22" w:rsidRDefault="00F75B22" w:rsidP="00F75B22">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No</w:t>
            </w:r>
          </w:p>
        </w:tc>
      </w:tr>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£287649</w:t>
            </w:r>
          </w:p>
        </w:tc>
      </w:tr>
    </w:tbl>
    <w:p w:rsidR="00F75B22" w:rsidRPr="00F75B22" w:rsidRDefault="00F75B22" w:rsidP="00F75B22">
      <w:pPr>
        <w:widowControl/>
        <w:autoSpaceDE/>
        <w:autoSpaceDN/>
        <w:rPr>
          <w:rFonts w:ascii="Times New Roman" w:eastAsia="Times New Roman" w:hAnsi="Times New Roman" w:cs="Times New Roman"/>
          <w:lang w:bidi="ar-SA"/>
        </w:rPr>
      </w:pPr>
    </w:p>
    <w:p w:rsidR="00F75B22" w:rsidRPr="00F75B22" w:rsidRDefault="00F75B22" w:rsidP="00F75B22">
      <w:pPr>
        <w:widowControl/>
        <w:shd w:val="clear" w:color="auto" w:fill="FFFFFF"/>
        <w:autoSpaceDE/>
        <w:autoSpaceDN/>
        <w:rPr>
          <w:rFonts w:ascii="Verdana" w:eastAsia="Times New Roman" w:hAnsi="Verdana" w:cs="Times New Roman"/>
          <w:b/>
          <w:bCs/>
          <w:color w:val="00B0F0"/>
          <w:lang w:bidi="ar-SA"/>
        </w:rPr>
      </w:pPr>
      <w:r w:rsidRPr="00F75B22">
        <w:rPr>
          <w:rFonts w:ascii="Verdana" w:eastAsia="Times New Roman" w:hAnsi="Verdana" w:cs="Times New Roman"/>
          <w:b/>
          <w:bCs/>
          <w:color w:val="00B0F0"/>
          <w:lang w:bidi="ar-SA"/>
        </w:rPr>
        <w:t>Connected Parties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At any time during the period from 06/04/2016 to 05/04/2017 did the scheme either directly or indirectly own assets that it had acquired from either:</w:t>
            </w:r>
            <w:r w:rsidRPr="00F75B22">
              <w:rPr>
                <w:rFonts w:ascii="Verdana" w:eastAsia="Times New Roman" w:hAnsi="Verdana" w:cs="Times New Roman"/>
                <w:lang w:bidi="ar-SA"/>
              </w:rPr>
              <w:br/>
              <w:t>a. a sponsoring employer or any person connected with that employer?</w:t>
            </w:r>
            <w:r w:rsidRPr="00F75B22">
              <w:rPr>
                <w:rFonts w:ascii="Verdana" w:eastAsia="Times New Roman" w:hAnsi="Verdana" w:cs="Times New Roman"/>
                <w:lang w:bidi="ar-SA"/>
              </w:rPr>
              <w:br/>
            </w:r>
            <w:proofErr w:type="gramStart"/>
            <w:r w:rsidRPr="00F75B22">
              <w:rPr>
                <w:rFonts w:ascii="Verdana" w:eastAsia="Times New Roman" w:hAnsi="Verdana" w:cs="Times New Roman"/>
                <w:i/>
                <w:iCs/>
                <w:lang w:bidi="ar-SA"/>
              </w:rPr>
              <w:t>or</w:t>
            </w:r>
            <w:proofErr w:type="gramEnd"/>
            <w:r w:rsidRPr="00F75B22">
              <w:rPr>
                <w:rFonts w:ascii="Verdana" w:eastAsia="Times New Roman" w:hAnsi="Verdana" w:cs="Times New Roman"/>
                <w:lang w:bidi="ar-SA"/>
              </w:rPr>
              <w:br/>
              <w:t>b. a person who was a director of or a person connected to a director of a close company that was also a sponsoring employer?</w:t>
            </w:r>
            <w:r w:rsidRPr="00F75B22">
              <w:rPr>
                <w:rFonts w:ascii="Verdana" w:eastAsia="Times New Roman" w:hAnsi="Verdana" w:cs="Times New Roman"/>
                <w:lang w:bidi="ar-SA"/>
              </w:rPr>
              <w:br/>
            </w:r>
            <w:proofErr w:type="gramStart"/>
            <w:r w:rsidRPr="00F75B22">
              <w:rPr>
                <w:rFonts w:ascii="Verdana" w:eastAsia="Times New Roman" w:hAnsi="Verdana" w:cs="Times New Roman"/>
                <w:i/>
                <w:iCs/>
                <w:lang w:bidi="ar-SA"/>
              </w:rPr>
              <w:t>or</w:t>
            </w:r>
            <w:proofErr w:type="gramEnd"/>
            <w:r w:rsidRPr="00F75B22">
              <w:rPr>
                <w:rFonts w:ascii="Verdana" w:eastAsia="Times New Roman" w:hAnsi="Verdana" w:cs="Times New Roman"/>
                <w:lang w:bidi="ar-SA"/>
              </w:rPr>
              <w:br/>
              <w:t>c. a person who was either a sole owner or partner or a person connected with the sole owner or partner of a business which was a sponsoring employer?</w:t>
            </w:r>
            <w:r w:rsidRPr="00F75B22">
              <w:rPr>
                <w:rFonts w:ascii="Verdana" w:eastAsia="Times New Roman" w:hAnsi="Verdana" w:cs="Times New Roman"/>
                <w:lang w:bidi="ar-SA"/>
              </w:rPr>
              <w:br/>
            </w:r>
            <w:proofErr w:type="gramStart"/>
            <w:r w:rsidRPr="00F75B22">
              <w:rPr>
                <w:rFonts w:ascii="Verdana" w:eastAsia="Times New Roman" w:hAnsi="Verdana" w:cs="Times New Roman"/>
                <w:i/>
                <w:iCs/>
                <w:lang w:bidi="ar-SA"/>
              </w:rPr>
              <w:t>or</w:t>
            </w:r>
            <w:proofErr w:type="gramEnd"/>
            <w:r w:rsidRPr="00F75B22">
              <w:rPr>
                <w:rFonts w:ascii="Verdana" w:eastAsia="Times New Roman" w:hAnsi="Verdana" w:cs="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Yes</w:t>
            </w:r>
          </w:p>
        </w:tc>
      </w:tr>
    </w:tbl>
    <w:p w:rsidR="00F75B22" w:rsidRPr="00F75B22" w:rsidRDefault="00F75B22" w:rsidP="00F75B22">
      <w:pPr>
        <w:widowControl/>
        <w:autoSpaceDE/>
        <w:autoSpaceDN/>
        <w:rPr>
          <w:rFonts w:ascii="Times New Roman" w:eastAsia="Times New Roman" w:hAnsi="Times New Roman" w:cs="Times New Roman"/>
          <w:lang w:bidi="ar-SA"/>
        </w:rPr>
      </w:pPr>
    </w:p>
    <w:p w:rsidR="00F75B22" w:rsidRPr="00F75B22" w:rsidRDefault="00F75B22" w:rsidP="00F75B22">
      <w:pPr>
        <w:widowControl/>
        <w:shd w:val="clear" w:color="auto" w:fill="FFFFFF"/>
        <w:autoSpaceDE/>
        <w:autoSpaceDN/>
        <w:rPr>
          <w:rFonts w:ascii="Verdana" w:eastAsia="Times New Roman" w:hAnsi="Verdana" w:cs="Times New Roman"/>
          <w:b/>
          <w:bCs/>
          <w:color w:val="00B0F0"/>
          <w:lang w:bidi="ar-SA"/>
        </w:rPr>
      </w:pPr>
      <w:r w:rsidRPr="00F75B22">
        <w:rPr>
          <w:rFonts w:ascii="Verdana" w:eastAsia="Times New Roman" w:hAnsi="Verdana" w:cs="Times New Roman"/>
          <w:b/>
          <w:bCs/>
          <w:color w:val="00B0F0"/>
          <w:lang w:bidi="ar-SA"/>
        </w:rPr>
        <w:t>Connected Party Assets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cost or market value of any assets at the end of the period</w:t>
            </w:r>
            <w:r w:rsidRPr="00F75B22">
              <w:rPr>
                <w:rFonts w:ascii="Verdana" w:eastAsia="Times New Roman" w:hAnsi="Verdana" w:cs="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£140357</w:t>
            </w:r>
            <w:r w:rsidRPr="00F75B22">
              <w:rPr>
                <w:rFonts w:ascii="Verdana" w:eastAsia="Times New Roman" w:hAnsi="Verdana" w:cs="Times New Roman"/>
                <w:lang w:bidi="ar-SA"/>
              </w:rPr>
              <w:br/>
            </w:r>
            <w:r w:rsidRPr="00F75B22">
              <w:rPr>
                <w:rFonts w:ascii="Verdana" w:eastAsia="Times New Roman" w:hAnsi="Verdana" w:cs="Times New Roman"/>
                <w:lang w:bidi="ar-SA"/>
              </w:rPr>
              <w:br/>
              <w:t>Market value</w:t>
            </w:r>
          </w:p>
        </w:tc>
      </w:tr>
    </w:tbl>
    <w:p w:rsidR="00F75B22" w:rsidRPr="00F75B22" w:rsidRDefault="00F75B22" w:rsidP="00F75B22">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amount of income received from assets</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£0</w:t>
            </w:r>
          </w:p>
        </w:tc>
      </w:tr>
    </w:tbl>
    <w:p w:rsidR="00F75B22" w:rsidRPr="00F75B22" w:rsidRDefault="00F75B22" w:rsidP="00F75B22">
      <w:pPr>
        <w:widowControl/>
        <w:autoSpaceDE/>
        <w:autoSpaceDN/>
        <w:rPr>
          <w:rFonts w:ascii="Times New Roman" w:eastAsia="Times New Roman" w:hAnsi="Times New Roman" w:cs="Times New Roman"/>
          <w:color w:val="00B0F0"/>
          <w:lang w:bidi="ar-SA"/>
        </w:rPr>
      </w:pPr>
    </w:p>
    <w:p w:rsidR="00F75B22" w:rsidRPr="00F75B22" w:rsidRDefault="00F75B22" w:rsidP="00F75B22">
      <w:pPr>
        <w:widowControl/>
        <w:shd w:val="clear" w:color="auto" w:fill="FFFFFF"/>
        <w:autoSpaceDE/>
        <w:autoSpaceDN/>
        <w:rPr>
          <w:rFonts w:ascii="Verdana" w:eastAsia="Times New Roman" w:hAnsi="Verdana" w:cs="Times New Roman"/>
          <w:b/>
          <w:bCs/>
          <w:color w:val="00B0F0"/>
          <w:lang w:bidi="ar-SA"/>
        </w:rPr>
      </w:pPr>
      <w:r w:rsidRPr="00F75B22">
        <w:rPr>
          <w:rFonts w:ascii="Verdana" w:eastAsia="Times New Roman" w:hAnsi="Verdana" w:cs="Times New Roman"/>
          <w:b/>
          <w:bCs/>
          <w:color w:val="00B0F0"/>
          <w:lang w:bidi="ar-SA"/>
        </w:rPr>
        <w:t>Cash and Bank Information</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£806</w:t>
            </w:r>
          </w:p>
        </w:tc>
      </w:tr>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£2533</w:t>
            </w:r>
          </w:p>
        </w:tc>
      </w:tr>
      <w:tr w:rsidR="00F75B22" w:rsidRPr="00F75B22" w:rsidTr="00F75B22">
        <w:trPr>
          <w:tblCellSpacing w:w="15" w:type="dxa"/>
        </w:trPr>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£0</w:t>
            </w:r>
          </w:p>
        </w:tc>
      </w:tr>
    </w:tbl>
    <w:p w:rsidR="00F75B22" w:rsidRPr="00F75B22" w:rsidRDefault="00F75B22" w:rsidP="00F75B22">
      <w:pPr>
        <w:widowControl/>
        <w:autoSpaceDE/>
        <w:autoSpaceDN/>
        <w:rPr>
          <w:rFonts w:ascii="Times New Roman" w:eastAsia="Times New Roman" w:hAnsi="Times New Roman" w:cs="Times New Roman"/>
          <w:lang w:bidi="ar-SA"/>
        </w:rPr>
      </w:pPr>
    </w:p>
    <w:p w:rsidR="00F75B22" w:rsidRPr="00F75B22" w:rsidRDefault="00F75B22" w:rsidP="00F75B22">
      <w:pPr>
        <w:widowControl/>
        <w:shd w:val="clear" w:color="auto" w:fill="FFFFFF"/>
        <w:autoSpaceDE/>
        <w:autoSpaceDN/>
        <w:rPr>
          <w:rFonts w:ascii="Verdana" w:eastAsia="Times New Roman" w:hAnsi="Verdana" w:cs="Times New Roman"/>
          <w:b/>
          <w:bCs/>
          <w:color w:val="00B0F0"/>
          <w:lang w:bidi="ar-SA"/>
        </w:rPr>
      </w:pPr>
      <w:proofErr w:type="spellStart"/>
      <w:r w:rsidRPr="00F75B22">
        <w:rPr>
          <w:rFonts w:ascii="Verdana" w:eastAsia="Times New Roman" w:hAnsi="Verdana" w:cs="Times New Roman"/>
          <w:b/>
          <w:bCs/>
          <w:color w:val="00B0F0"/>
          <w:lang w:bidi="ar-SA"/>
        </w:rPr>
        <w:t>Arms Length</w:t>
      </w:r>
      <w:proofErr w:type="spellEnd"/>
      <w:r w:rsidRPr="00F75B22">
        <w:rPr>
          <w:rFonts w:ascii="Verdana" w:eastAsia="Times New Roman" w:hAnsi="Verdana" w:cs="Times New Roman"/>
          <w:b/>
          <w:bCs/>
          <w:color w:val="00B0F0"/>
          <w:lang w:bidi="ar-SA"/>
        </w:rPr>
        <w:t xml:space="preserve"> Transactions</w:t>
      </w: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cost or market value of any assets owned at the end of the period</w:t>
            </w:r>
            <w:r w:rsidRPr="00F75B22">
              <w:rPr>
                <w:rFonts w:ascii="Verdana" w:eastAsia="Times New Roman" w:hAnsi="Verdana" w:cs="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£144759</w:t>
            </w:r>
            <w:r w:rsidRPr="00F75B22">
              <w:rPr>
                <w:rFonts w:ascii="Verdana" w:eastAsia="Times New Roman" w:hAnsi="Verdana" w:cs="Times New Roman"/>
                <w:lang w:bidi="ar-SA"/>
              </w:rPr>
              <w:br/>
            </w:r>
            <w:r w:rsidRPr="00F75B22">
              <w:rPr>
                <w:rFonts w:ascii="Verdana" w:eastAsia="Times New Roman" w:hAnsi="Verdana" w:cs="Times New Roman"/>
                <w:lang w:bidi="ar-SA"/>
              </w:rPr>
              <w:br/>
              <w:t>Market value</w:t>
            </w:r>
          </w:p>
        </w:tc>
      </w:tr>
    </w:tbl>
    <w:p w:rsidR="00F75B22" w:rsidRPr="00F75B22" w:rsidRDefault="00F75B22" w:rsidP="00F75B22">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Nature of asset(s) acquired</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spacing w:after="240"/>
              <w:rPr>
                <w:rFonts w:ascii="Verdana" w:eastAsia="Times New Roman" w:hAnsi="Verdana" w:cs="Times New Roman"/>
                <w:lang w:bidi="ar-SA"/>
              </w:rPr>
            </w:pPr>
            <w:r w:rsidRPr="00F75B22">
              <w:rPr>
                <w:rFonts w:ascii="Verdana" w:eastAsia="Times New Roman" w:hAnsi="Verdana" w:cs="Times New Roman"/>
                <w:lang w:bidi="ar-SA"/>
              </w:rPr>
              <w:t>Quoted shares</w:t>
            </w:r>
          </w:p>
        </w:tc>
      </w:tr>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cost of any assets acquired</w:t>
            </w: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£40482</w:t>
            </w:r>
          </w:p>
        </w:tc>
      </w:tr>
    </w:tbl>
    <w:p w:rsidR="00F75B22" w:rsidRPr="00F75B22" w:rsidRDefault="00F75B22" w:rsidP="00F75B22">
      <w:pPr>
        <w:widowControl/>
        <w:autoSpaceDE/>
        <w:autoSpaceDN/>
        <w:rPr>
          <w:rFonts w:ascii="Times New Roman" w:eastAsia="Times New Roman" w:hAnsi="Times New Roman" w:cs="Times New Roman"/>
          <w:vanish/>
          <w:lang w:bidi="ar-SA"/>
        </w:rPr>
      </w:pPr>
    </w:p>
    <w:tbl>
      <w:tblPr>
        <w:tblW w:w="10739"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4"/>
        <w:gridCol w:w="561"/>
        <w:gridCol w:w="4824"/>
      </w:tblGrid>
      <w:tr w:rsidR="00F75B22" w:rsidRPr="00F75B22" w:rsidTr="00F75B22">
        <w:trPr>
          <w:tblCellSpacing w:w="15" w:type="dxa"/>
        </w:trPr>
        <w:tc>
          <w:tcPr>
            <w:tcW w:w="250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p>
        </w:tc>
        <w:tc>
          <w:tcPr>
            <w:tcW w:w="0" w:type="auto"/>
            <w:shd w:val="clear" w:color="auto" w:fill="FFFFFF"/>
            <w:tcMar>
              <w:top w:w="45" w:type="dxa"/>
              <w:left w:w="45" w:type="dxa"/>
              <w:bottom w:w="45" w:type="dxa"/>
              <w:right w:w="45" w:type="dxa"/>
            </w:tcMar>
            <w:vAlign w:val="center"/>
            <w:hideMark/>
          </w:tcPr>
          <w:p w:rsidR="00F75B22" w:rsidRPr="00F75B22" w:rsidRDefault="00F75B22" w:rsidP="00F75B22">
            <w:pPr>
              <w:widowControl/>
              <w:autoSpaceDE/>
              <w:autoSpaceDN/>
              <w:rPr>
                <w:rFonts w:ascii="Verdana" w:eastAsia="Times New Roman" w:hAnsi="Verdana" w:cs="Times New Roman"/>
                <w:lang w:bidi="ar-SA"/>
              </w:rPr>
            </w:pPr>
            <w:r w:rsidRPr="00F75B22">
              <w:rPr>
                <w:rFonts w:ascii="Verdana" w:eastAsia="Times New Roman" w:hAnsi="Verdana" w:cs="Times New Roman"/>
                <w:lang w:bidi="ar-SA"/>
              </w:rPr>
              <w:t>£8211</w:t>
            </w:r>
          </w:p>
        </w:tc>
      </w:tr>
    </w:tbl>
    <w:p w:rsidR="00195B1E" w:rsidRPr="00F75B22" w:rsidRDefault="00195B1E" w:rsidP="007F23D0">
      <w:pPr>
        <w:pStyle w:val="BodyText"/>
        <w:spacing w:line="276" w:lineRule="auto"/>
        <w:ind w:right="40"/>
        <w:jc w:val="both"/>
      </w:pPr>
    </w:p>
    <w:p w:rsidR="00DF1CFF" w:rsidRPr="00F75B22" w:rsidRDefault="00DF1CFF" w:rsidP="00A277BA">
      <w:pPr>
        <w:ind w:left="567" w:right="40"/>
      </w:pPr>
      <w:r w:rsidRPr="00F75B22">
        <w:br w:type="page"/>
      </w:r>
    </w:p>
    <w:p w:rsidR="001E1097" w:rsidRPr="00A277BA" w:rsidRDefault="00A277BA" w:rsidP="00A277BA">
      <w:pPr>
        <w:tabs>
          <w:tab w:val="left" w:pos="1276"/>
        </w:tabs>
        <w:spacing w:before="84"/>
        <w:ind w:left="726" w:right="40"/>
        <w:rPr>
          <w:b/>
          <w:sz w:val="48"/>
        </w:rPr>
      </w:pPr>
      <w:r>
        <w:rPr>
          <w:b/>
          <w:color w:val="1FAED5"/>
          <w:sz w:val="48"/>
        </w:rPr>
        <w:t>4.</w:t>
      </w:r>
      <w:r w:rsidR="00441888">
        <w:rPr>
          <w:b/>
          <w:color w:val="1FAED5"/>
          <w:sz w:val="48"/>
        </w:rPr>
        <w:t xml:space="preserve"> </w:t>
      </w:r>
      <w:r w:rsidR="001E1097" w:rsidRPr="00A277BA">
        <w:rPr>
          <w:b/>
          <w:color w:val="1FAED5"/>
          <w:sz w:val="48"/>
        </w:rPr>
        <w:t>Scheme Review</w:t>
      </w:r>
    </w:p>
    <w:p w:rsidR="001E1097" w:rsidRDefault="001E1097" w:rsidP="00A277BA">
      <w:pPr>
        <w:pStyle w:val="ListParagraph"/>
        <w:tabs>
          <w:tab w:val="left" w:pos="1276"/>
        </w:tabs>
        <w:spacing w:before="84"/>
        <w:ind w:left="567" w:right="40"/>
        <w:rPr>
          <w:b/>
          <w:sz w:val="48"/>
        </w:rPr>
      </w:pPr>
    </w:p>
    <w:p w:rsidR="001E1097" w:rsidRDefault="00C8056E" w:rsidP="00D87C6B">
      <w:pPr>
        <w:pStyle w:val="BodyText"/>
        <w:kinsoku w:val="0"/>
        <w:overflowPunct w:val="0"/>
        <w:spacing w:line="249" w:lineRule="auto"/>
        <w:ind w:left="567" w:right="40"/>
        <w:jc w:val="both"/>
        <w:rPr>
          <w:w w:val="105"/>
        </w:rPr>
      </w:pPr>
      <w:r>
        <w:rPr>
          <w:w w:val="105"/>
        </w:rPr>
        <w:t>The scheme requires a light touch compliance oversight given that the assets of the scheme consist of cash and a share portfolio.</w:t>
      </w:r>
    </w:p>
    <w:p w:rsidR="00C8056E" w:rsidRDefault="00C8056E" w:rsidP="00D87C6B">
      <w:pPr>
        <w:pStyle w:val="BodyText"/>
        <w:kinsoku w:val="0"/>
        <w:overflowPunct w:val="0"/>
        <w:spacing w:line="249" w:lineRule="auto"/>
        <w:ind w:left="567" w:right="40"/>
        <w:jc w:val="both"/>
        <w:rPr>
          <w:w w:val="105"/>
        </w:rPr>
      </w:pPr>
    </w:p>
    <w:p w:rsidR="00C8056E" w:rsidRDefault="00C8056E" w:rsidP="00D87C6B">
      <w:pPr>
        <w:pStyle w:val="BodyText"/>
        <w:kinsoku w:val="0"/>
        <w:overflowPunct w:val="0"/>
        <w:spacing w:line="249" w:lineRule="auto"/>
        <w:ind w:left="567" w:right="40"/>
        <w:jc w:val="both"/>
        <w:rPr>
          <w:w w:val="105"/>
        </w:rPr>
      </w:pPr>
      <w:r>
        <w:rPr>
          <w:w w:val="105"/>
        </w:rPr>
        <w:t>Since the time of the report, the Trustees have admitted to the Scheme</w:t>
      </w:r>
      <w:r w:rsidR="00355148">
        <w:rPr>
          <w:w w:val="105"/>
        </w:rPr>
        <w:t>,</w:t>
      </w:r>
      <w:r>
        <w:rPr>
          <w:w w:val="105"/>
        </w:rPr>
        <w:t xml:space="preserve"> Richard Henley as a trustee of the scheme.</w:t>
      </w:r>
    </w:p>
    <w:p w:rsidR="00C8056E" w:rsidRDefault="00C8056E" w:rsidP="00D87C6B">
      <w:pPr>
        <w:pStyle w:val="BodyText"/>
        <w:kinsoku w:val="0"/>
        <w:overflowPunct w:val="0"/>
        <w:spacing w:line="249" w:lineRule="auto"/>
        <w:ind w:left="567" w:right="40"/>
        <w:jc w:val="both"/>
        <w:rPr>
          <w:w w:val="105"/>
        </w:rPr>
      </w:pPr>
    </w:p>
    <w:p w:rsidR="00C8056E" w:rsidRDefault="00C8056E" w:rsidP="00D87C6B">
      <w:pPr>
        <w:pStyle w:val="BodyText"/>
        <w:kinsoku w:val="0"/>
        <w:overflowPunct w:val="0"/>
        <w:spacing w:line="249" w:lineRule="auto"/>
        <w:ind w:left="567" w:right="40"/>
        <w:jc w:val="both"/>
        <w:rPr>
          <w:w w:val="105"/>
        </w:rPr>
      </w:pPr>
      <w:r>
        <w:rPr>
          <w:w w:val="105"/>
        </w:rPr>
        <w:t>Whilst the assets are deemed collectively owned by the Andrew and Richard, in his now capacity as trustee, new investment would ordinarily require both trustees consent in order for the scheme to fall into the SSAS administration regulations.</w:t>
      </w:r>
    </w:p>
    <w:p w:rsidR="00355148" w:rsidRDefault="00355148" w:rsidP="00D87C6B">
      <w:pPr>
        <w:pStyle w:val="BodyText"/>
        <w:kinsoku w:val="0"/>
        <w:overflowPunct w:val="0"/>
        <w:spacing w:line="249" w:lineRule="auto"/>
        <w:ind w:left="567" w:right="40"/>
        <w:jc w:val="both"/>
        <w:rPr>
          <w:w w:val="105"/>
        </w:rPr>
      </w:pPr>
    </w:p>
    <w:p w:rsidR="00355148" w:rsidRDefault="00355148" w:rsidP="00D87C6B">
      <w:pPr>
        <w:pStyle w:val="BodyText"/>
        <w:kinsoku w:val="0"/>
        <w:overflowPunct w:val="0"/>
        <w:spacing w:line="249" w:lineRule="auto"/>
        <w:ind w:left="567" w:right="40"/>
        <w:jc w:val="both"/>
        <w:rPr>
          <w:w w:val="105"/>
        </w:rPr>
      </w:pPr>
      <w:r>
        <w:rPr>
          <w:w w:val="105"/>
        </w:rPr>
        <w:t>To ensure that Andrew can continue to enjoy the exemptions under the SSAS administration regulations a resolution for the delegation of investment decisions is recommended to be signed by both Trustees.</w:t>
      </w:r>
    </w:p>
    <w:p w:rsidR="00355148" w:rsidRDefault="00355148" w:rsidP="00D87C6B">
      <w:pPr>
        <w:pStyle w:val="BodyText"/>
        <w:kinsoku w:val="0"/>
        <w:overflowPunct w:val="0"/>
        <w:spacing w:line="249" w:lineRule="auto"/>
        <w:ind w:left="567" w:right="40"/>
        <w:jc w:val="both"/>
        <w:rPr>
          <w:w w:val="105"/>
        </w:rPr>
      </w:pPr>
    </w:p>
    <w:p w:rsidR="00355148" w:rsidRDefault="00355148" w:rsidP="00D87C6B">
      <w:pPr>
        <w:pStyle w:val="BodyText"/>
        <w:kinsoku w:val="0"/>
        <w:overflowPunct w:val="0"/>
        <w:spacing w:line="249" w:lineRule="auto"/>
        <w:ind w:left="567" w:right="40"/>
        <w:jc w:val="both"/>
        <w:rPr>
          <w:w w:val="105"/>
        </w:rPr>
      </w:pPr>
      <w:r>
        <w:rPr>
          <w:w w:val="105"/>
        </w:rPr>
        <w:t>This will be prepared by Gavin and distributed for digital signature.</w:t>
      </w:r>
    </w:p>
    <w:p w:rsidR="00355148" w:rsidRDefault="00355148" w:rsidP="00D87C6B">
      <w:pPr>
        <w:pStyle w:val="BodyText"/>
        <w:kinsoku w:val="0"/>
        <w:overflowPunct w:val="0"/>
        <w:spacing w:line="249" w:lineRule="auto"/>
        <w:ind w:left="567" w:right="40"/>
        <w:jc w:val="both"/>
        <w:rPr>
          <w:w w:val="105"/>
        </w:rPr>
      </w:pPr>
    </w:p>
    <w:p w:rsidR="00355148" w:rsidRDefault="00355148" w:rsidP="00D87C6B">
      <w:pPr>
        <w:pStyle w:val="BodyText"/>
        <w:kinsoku w:val="0"/>
        <w:overflowPunct w:val="0"/>
        <w:spacing w:line="249" w:lineRule="auto"/>
        <w:ind w:left="567" w:right="40"/>
        <w:jc w:val="both"/>
        <w:rPr>
          <w:w w:val="105"/>
        </w:rPr>
      </w:pPr>
      <w:r>
        <w:rPr>
          <w:w w:val="105"/>
        </w:rPr>
        <w:t xml:space="preserve">One feature of the rules of the scheme is that in the event of dread disease being diagnosed the entire fund may be paid out before retirement. In the unlikely event that Andrew has a requirement for early payment of income to meet certain expenses this can be effected. </w:t>
      </w:r>
      <w:r w:rsidR="00D87C6B">
        <w:rPr>
          <w:w w:val="105"/>
        </w:rPr>
        <w:t xml:space="preserve">It is recommended that contributions are made to the scheme to help match benefits on retirement, which has been set at 65. I have used a contribution rate of £1666 per calendar month to illustrate the current value of pensions income, net of inflation. </w:t>
      </w:r>
    </w:p>
    <w:p w:rsidR="00355148" w:rsidRDefault="00355148" w:rsidP="00A277BA">
      <w:pPr>
        <w:pStyle w:val="BodyText"/>
        <w:kinsoku w:val="0"/>
        <w:overflowPunct w:val="0"/>
        <w:spacing w:line="249" w:lineRule="auto"/>
        <w:ind w:left="567" w:right="40"/>
        <w:rPr>
          <w:w w:val="105"/>
        </w:rPr>
      </w:pPr>
    </w:p>
    <w:p w:rsidR="00C8056E" w:rsidRDefault="00C8056E" w:rsidP="00A277BA">
      <w:pPr>
        <w:pStyle w:val="BodyText"/>
        <w:kinsoku w:val="0"/>
        <w:overflowPunct w:val="0"/>
        <w:spacing w:line="249" w:lineRule="auto"/>
        <w:ind w:left="567" w:right="40"/>
        <w:rPr>
          <w:w w:val="105"/>
        </w:rPr>
      </w:pPr>
    </w:p>
    <w:p w:rsidR="00C8056E" w:rsidRDefault="00C8056E" w:rsidP="00A277BA">
      <w:pPr>
        <w:pStyle w:val="BodyText"/>
        <w:kinsoku w:val="0"/>
        <w:overflowPunct w:val="0"/>
        <w:spacing w:line="249" w:lineRule="auto"/>
        <w:ind w:left="567" w:right="40"/>
        <w:rPr>
          <w:w w:val="105"/>
        </w:rPr>
      </w:pPr>
    </w:p>
    <w:p w:rsidR="001E1097" w:rsidRDefault="001E1097" w:rsidP="00A277BA">
      <w:pPr>
        <w:pStyle w:val="BodyText"/>
        <w:kinsoku w:val="0"/>
        <w:overflowPunct w:val="0"/>
        <w:spacing w:line="249" w:lineRule="auto"/>
        <w:ind w:left="567" w:right="40"/>
        <w:rPr>
          <w:w w:val="105"/>
        </w:rPr>
      </w:pPr>
    </w:p>
    <w:p w:rsidR="006B3197" w:rsidRDefault="006B3197" w:rsidP="00A277BA">
      <w:pPr>
        <w:pStyle w:val="BodyText"/>
        <w:kinsoku w:val="0"/>
        <w:overflowPunct w:val="0"/>
        <w:spacing w:line="249" w:lineRule="auto"/>
        <w:ind w:left="567" w:right="40"/>
        <w:rPr>
          <w:w w:val="105"/>
        </w:rPr>
      </w:pPr>
    </w:p>
    <w:p w:rsidR="00355148" w:rsidRDefault="00355148" w:rsidP="00A277BA">
      <w:pPr>
        <w:ind w:left="567"/>
        <w:rPr>
          <w:w w:val="105"/>
        </w:rPr>
      </w:pPr>
      <w:r>
        <w:rPr>
          <w:w w:val="105"/>
        </w:rPr>
        <w:br w:type="page"/>
      </w:r>
    </w:p>
    <w:p w:rsidR="00DF1CFF" w:rsidRPr="001034ED" w:rsidRDefault="001034ED" w:rsidP="001034ED">
      <w:pPr>
        <w:tabs>
          <w:tab w:val="left" w:pos="1276"/>
        </w:tabs>
        <w:spacing w:before="84"/>
        <w:ind w:left="567" w:right="40"/>
        <w:rPr>
          <w:b/>
          <w:sz w:val="48"/>
        </w:rPr>
      </w:pPr>
      <w:r>
        <w:rPr>
          <w:b/>
          <w:color w:val="1FAED5"/>
          <w:sz w:val="48"/>
        </w:rPr>
        <w:t>5.</w:t>
      </w:r>
      <w:r w:rsidR="00DF1CFF" w:rsidRPr="001034ED">
        <w:rPr>
          <w:b/>
          <w:color w:val="1FAED5"/>
          <w:sz w:val="48"/>
        </w:rPr>
        <w:t>Benefit Statement</w:t>
      </w:r>
    </w:p>
    <w:p w:rsidR="006B3197" w:rsidRDefault="006B3197" w:rsidP="00A277BA">
      <w:pPr>
        <w:pStyle w:val="BodyText"/>
        <w:kinsoku w:val="0"/>
        <w:overflowPunct w:val="0"/>
        <w:spacing w:line="249" w:lineRule="auto"/>
        <w:ind w:left="567" w:right="40"/>
        <w:rPr>
          <w:w w:val="105"/>
        </w:rPr>
      </w:pPr>
    </w:p>
    <w:p w:rsidR="006B3197" w:rsidRDefault="006B3197" w:rsidP="00A277BA">
      <w:pPr>
        <w:pStyle w:val="BodyText"/>
        <w:kinsoku w:val="0"/>
        <w:overflowPunct w:val="0"/>
        <w:spacing w:line="249" w:lineRule="auto"/>
        <w:ind w:left="567" w:right="40"/>
        <w:rPr>
          <w:b/>
          <w:w w:val="105"/>
        </w:rPr>
      </w:pPr>
      <w:r w:rsidRPr="00FB3542">
        <w:rPr>
          <w:b/>
          <w:w w:val="105"/>
        </w:rPr>
        <w:t>Benef</w:t>
      </w:r>
      <w:r w:rsidR="001102E9">
        <w:rPr>
          <w:b/>
          <w:w w:val="105"/>
        </w:rPr>
        <w:t>i</w:t>
      </w:r>
      <w:r w:rsidRPr="00FB3542">
        <w:rPr>
          <w:b/>
          <w:w w:val="105"/>
        </w:rPr>
        <w:t xml:space="preserve">t Statement for </w:t>
      </w:r>
      <w:r w:rsidR="00666090" w:rsidRPr="00666090">
        <w:rPr>
          <w:b/>
          <w:w w:val="105"/>
        </w:rPr>
        <w:t xml:space="preserve">Rajesh </w:t>
      </w:r>
      <w:proofErr w:type="spellStart"/>
      <w:r w:rsidR="00666090" w:rsidRPr="00666090">
        <w:rPr>
          <w:b/>
          <w:w w:val="105"/>
        </w:rPr>
        <w:t>Mansukhlal</w:t>
      </w:r>
      <w:proofErr w:type="spellEnd"/>
      <w:r w:rsidR="00666090">
        <w:rPr>
          <w:b/>
          <w:w w:val="105"/>
        </w:rPr>
        <w:t xml:space="preserve"> </w:t>
      </w:r>
    </w:p>
    <w:p w:rsidR="00FB3542" w:rsidRPr="00FB3542" w:rsidRDefault="006B3197" w:rsidP="00A277BA">
      <w:pPr>
        <w:pStyle w:val="spacer-bottom-dbl"/>
        <w:ind w:left="567" w:right="40"/>
        <w:rPr>
          <w:rFonts w:ascii="Arial" w:hAnsi="Arial" w:cs="Arial"/>
          <w:color w:val="000000"/>
        </w:rPr>
      </w:pPr>
      <w:r w:rsidRPr="00FB3542">
        <w:rPr>
          <w:rFonts w:ascii="Arial" w:hAnsi="Arial" w:cs="Arial"/>
          <w:w w:val="105"/>
        </w:rPr>
        <w:t>Estimated Retirement Fund at age 65:</w:t>
      </w:r>
      <w:r w:rsidR="00FB3542" w:rsidRPr="00FB3542">
        <w:rPr>
          <w:rStyle w:val="text-increase-6"/>
          <w:rFonts w:ascii="Arial" w:hAnsi="Arial" w:cs="Arial"/>
          <w:color w:val="00ADEE"/>
        </w:rPr>
        <w:t xml:space="preserve"> </w:t>
      </w:r>
      <w:r w:rsidR="001102E9">
        <w:rPr>
          <w:rStyle w:val="text-increase-6"/>
          <w:rFonts w:ascii="Arial" w:hAnsi="Arial" w:cs="Arial"/>
          <w:color w:val="00ADEE"/>
        </w:rPr>
        <w:tab/>
      </w:r>
      <w:r w:rsidR="00FB3542" w:rsidRPr="00FB3542">
        <w:rPr>
          <w:rStyle w:val="text-increase-6"/>
          <w:rFonts w:ascii="Arial" w:hAnsi="Arial" w:cs="Arial"/>
          <w:color w:val="00ADEE"/>
        </w:rPr>
        <w:t>£</w:t>
      </w:r>
    </w:p>
    <w:p w:rsidR="006B3197" w:rsidRPr="00FB3542" w:rsidRDefault="006B3197" w:rsidP="00A277BA">
      <w:pPr>
        <w:pStyle w:val="BodyText"/>
        <w:kinsoku w:val="0"/>
        <w:overflowPunct w:val="0"/>
        <w:spacing w:line="249" w:lineRule="auto"/>
        <w:ind w:left="567" w:right="40"/>
        <w:rPr>
          <w:w w:val="105"/>
          <w:sz w:val="24"/>
          <w:szCs w:val="24"/>
        </w:rPr>
      </w:pPr>
      <w:r w:rsidRPr="00FB3542">
        <w:rPr>
          <w:w w:val="105"/>
          <w:sz w:val="24"/>
          <w:szCs w:val="24"/>
        </w:rPr>
        <w:t xml:space="preserve">Tax Free Cash Sum: </w:t>
      </w:r>
      <w:r w:rsidR="00FB3542">
        <w:rPr>
          <w:w w:val="105"/>
          <w:sz w:val="24"/>
          <w:szCs w:val="24"/>
        </w:rPr>
        <w:tab/>
      </w:r>
      <w:r w:rsidR="00FB3542">
        <w:rPr>
          <w:w w:val="105"/>
          <w:sz w:val="24"/>
          <w:szCs w:val="24"/>
        </w:rPr>
        <w:tab/>
      </w:r>
      <w:r w:rsidR="001102E9">
        <w:rPr>
          <w:w w:val="105"/>
          <w:sz w:val="24"/>
          <w:szCs w:val="24"/>
        </w:rPr>
        <w:tab/>
      </w:r>
      <w:r w:rsidR="00FB3542" w:rsidRPr="00FB3542">
        <w:rPr>
          <w:rStyle w:val="text-increase-6"/>
          <w:color w:val="00ADEE"/>
          <w:sz w:val="24"/>
          <w:szCs w:val="24"/>
        </w:rPr>
        <w:t>£</w:t>
      </w:r>
    </w:p>
    <w:p w:rsidR="006B3197" w:rsidRPr="00FB3542" w:rsidRDefault="006B3197" w:rsidP="00A277BA">
      <w:pPr>
        <w:pStyle w:val="BodyText"/>
        <w:kinsoku w:val="0"/>
        <w:overflowPunct w:val="0"/>
        <w:spacing w:line="249" w:lineRule="auto"/>
        <w:ind w:left="567" w:right="40"/>
        <w:rPr>
          <w:w w:val="105"/>
          <w:sz w:val="24"/>
          <w:szCs w:val="24"/>
        </w:rPr>
      </w:pPr>
    </w:p>
    <w:p w:rsidR="006B3197" w:rsidRPr="00FB3542" w:rsidRDefault="006B3197" w:rsidP="00A277BA">
      <w:pPr>
        <w:pStyle w:val="BodyText"/>
        <w:kinsoku w:val="0"/>
        <w:overflowPunct w:val="0"/>
        <w:spacing w:line="249" w:lineRule="auto"/>
        <w:ind w:left="567" w:right="40"/>
        <w:rPr>
          <w:w w:val="105"/>
          <w:sz w:val="24"/>
          <w:szCs w:val="24"/>
        </w:rPr>
      </w:pPr>
      <w:r w:rsidRPr="00FB3542">
        <w:rPr>
          <w:w w:val="105"/>
          <w:sz w:val="24"/>
          <w:szCs w:val="24"/>
        </w:rPr>
        <w:t xml:space="preserve">Pension Income: </w:t>
      </w:r>
      <w:r w:rsidR="00FB3542">
        <w:rPr>
          <w:w w:val="105"/>
          <w:sz w:val="24"/>
          <w:szCs w:val="24"/>
        </w:rPr>
        <w:tab/>
      </w:r>
      <w:r w:rsidR="00FB3542">
        <w:rPr>
          <w:w w:val="105"/>
          <w:sz w:val="24"/>
          <w:szCs w:val="24"/>
        </w:rPr>
        <w:tab/>
      </w:r>
      <w:r w:rsidR="00FB3542">
        <w:rPr>
          <w:w w:val="105"/>
          <w:sz w:val="24"/>
          <w:szCs w:val="24"/>
        </w:rPr>
        <w:tab/>
      </w:r>
      <w:r w:rsidR="00FB3542">
        <w:rPr>
          <w:w w:val="105"/>
          <w:sz w:val="24"/>
          <w:szCs w:val="24"/>
        </w:rPr>
        <w:tab/>
      </w:r>
      <w:r w:rsidR="00FB3542" w:rsidRPr="00FB3542">
        <w:rPr>
          <w:rStyle w:val="text-increase-6"/>
          <w:color w:val="00ADEE"/>
          <w:sz w:val="24"/>
          <w:szCs w:val="24"/>
        </w:rPr>
        <w:t>£</w:t>
      </w:r>
    </w:p>
    <w:p w:rsidR="00FB3542" w:rsidRPr="00FB3542" w:rsidRDefault="00FB3542" w:rsidP="00A277BA">
      <w:pPr>
        <w:pStyle w:val="BodyText"/>
        <w:kinsoku w:val="0"/>
        <w:overflowPunct w:val="0"/>
        <w:spacing w:line="249" w:lineRule="auto"/>
        <w:ind w:left="567" w:right="40"/>
        <w:rPr>
          <w:w w:val="105"/>
          <w:sz w:val="24"/>
          <w:szCs w:val="24"/>
        </w:rPr>
      </w:pPr>
    </w:p>
    <w:p w:rsidR="00FB3542" w:rsidRDefault="00FB3542" w:rsidP="00A277BA">
      <w:pPr>
        <w:pStyle w:val="BodyText"/>
        <w:kinsoku w:val="0"/>
        <w:overflowPunct w:val="0"/>
        <w:spacing w:line="249" w:lineRule="auto"/>
        <w:ind w:left="567" w:right="40"/>
        <w:rPr>
          <w:w w:val="105"/>
          <w:sz w:val="24"/>
          <w:szCs w:val="24"/>
        </w:rPr>
      </w:pPr>
      <w:r w:rsidRPr="00FB3542">
        <w:rPr>
          <w:w w:val="105"/>
          <w:sz w:val="24"/>
          <w:szCs w:val="24"/>
        </w:rPr>
        <w:t>Estimated Retirement Date: 65</w:t>
      </w:r>
    </w:p>
    <w:p w:rsidR="001034ED" w:rsidRPr="00FB3542" w:rsidRDefault="001034ED" w:rsidP="00A277BA">
      <w:pPr>
        <w:pStyle w:val="BodyText"/>
        <w:kinsoku w:val="0"/>
        <w:overflowPunct w:val="0"/>
        <w:spacing w:line="249" w:lineRule="auto"/>
        <w:ind w:left="567" w:right="40"/>
        <w:rPr>
          <w:w w:val="105"/>
          <w:sz w:val="24"/>
          <w:szCs w:val="24"/>
        </w:rPr>
      </w:pPr>
    </w:p>
    <w:p w:rsidR="00FB3542" w:rsidRPr="00FB3542" w:rsidRDefault="00FB3542" w:rsidP="00A277BA">
      <w:pPr>
        <w:pStyle w:val="BodyText"/>
        <w:kinsoku w:val="0"/>
        <w:overflowPunct w:val="0"/>
        <w:spacing w:line="249" w:lineRule="auto"/>
        <w:ind w:left="567" w:right="40"/>
        <w:rPr>
          <w:w w:val="105"/>
          <w:sz w:val="24"/>
          <w:szCs w:val="24"/>
        </w:rPr>
      </w:pPr>
    </w:p>
    <w:p w:rsidR="00FB3542" w:rsidRPr="00FB3542" w:rsidRDefault="00FB3542" w:rsidP="00A277BA">
      <w:pPr>
        <w:pStyle w:val="BodyText"/>
        <w:kinsoku w:val="0"/>
        <w:overflowPunct w:val="0"/>
        <w:spacing w:line="249" w:lineRule="auto"/>
        <w:ind w:left="567" w:right="40"/>
        <w:rPr>
          <w:w w:val="105"/>
          <w:sz w:val="24"/>
          <w:szCs w:val="24"/>
        </w:rPr>
      </w:pPr>
      <w:r w:rsidRPr="00FB3542">
        <w:rPr>
          <w:w w:val="105"/>
          <w:sz w:val="24"/>
          <w:szCs w:val="24"/>
        </w:rPr>
        <w:t>We have made the following assumptions:</w:t>
      </w:r>
    </w:p>
    <w:p w:rsidR="00FB3542" w:rsidRPr="00FB3542" w:rsidRDefault="00FB3542" w:rsidP="00A277BA">
      <w:pPr>
        <w:pStyle w:val="BodyText"/>
        <w:kinsoku w:val="0"/>
        <w:overflowPunct w:val="0"/>
        <w:spacing w:line="249" w:lineRule="auto"/>
        <w:ind w:left="567" w:right="40"/>
        <w:rPr>
          <w:w w:val="105"/>
          <w:sz w:val="24"/>
          <w:szCs w:val="24"/>
        </w:rPr>
      </w:pPr>
    </w:p>
    <w:p w:rsidR="00FB3542" w:rsidRPr="00FB3542" w:rsidRDefault="00FB3542" w:rsidP="001034ED">
      <w:pPr>
        <w:pStyle w:val="BodyText"/>
        <w:numPr>
          <w:ilvl w:val="0"/>
          <w:numId w:val="15"/>
        </w:numPr>
        <w:kinsoku w:val="0"/>
        <w:overflowPunct w:val="0"/>
        <w:spacing w:line="249" w:lineRule="auto"/>
        <w:ind w:left="1134" w:right="40" w:hanging="708"/>
        <w:rPr>
          <w:w w:val="105"/>
          <w:sz w:val="24"/>
          <w:szCs w:val="24"/>
        </w:rPr>
      </w:pPr>
      <w:r w:rsidRPr="00FB3542">
        <w:rPr>
          <w:w w:val="105"/>
          <w:sz w:val="24"/>
          <w:szCs w:val="24"/>
        </w:rPr>
        <w:t xml:space="preserve">Investment growth is a net rate of </w:t>
      </w:r>
      <w:r w:rsidR="001102E9">
        <w:rPr>
          <w:w w:val="105"/>
          <w:sz w:val="24"/>
          <w:szCs w:val="24"/>
        </w:rPr>
        <w:t>5</w:t>
      </w:r>
      <w:r w:rsidRPr="00FB3542">
        <w:rPr>
          <w:w w:val="105"/>
          <w:sz w:val="24"/>
          <w:szCs w:val="24"/>
        </w:rPr>
        <w:t>%</w:t>
      </w:r>
      <w:r w:rsidR="001102E9">
        <w:rPr>
          <w:w w:val="105"/>
          <w:sz w:val="24"/>
          <w:szCs w:val="24"/>
        </w:rPr>
        <w:t>.</w:t>
      </w:r>
    </w:p>
    <w:p w:rsidR="00FB3542" w:rsidRPr="00FB3542" w:rsidRDefault="00FB3542" w:rsidP="001034ED">
      <w:pPr>
        <w:pStyle w:val="BodyText"/>
        <w:kinsoku w:val="0"/>
        <w:overflowPunct w:val="0"/>
        <w:spacing w:line="249" w:lineRule="auto"/>
        <w:ind w:left="1134" w:right="40" w:hanging="708"/>
        <w:rPr>
          <w:w w:val="105"/>
          <w:sz w:val="24"/>
          <w:szCs w:val="24"/>
        </w:rPr>
      </w:pPr>
    </w:p>
    <w:p w:rsidR="00FB3542" w:rsidRPr="00FB3542" w:rsidRDefault="00FB3542" w:rsidP="001034ED">
      <w:pPr>
        <w:pStyle w:val="BodyText"/>
        <w:numPr>
          <w:ilvl w:val="0"/>
          <w:numId w:val="15"/>
        </w:numPr>
        <w:kinsoku w:val="0"/>
        <w:overflowPunct w:val="0"/>
        <w:spacing w:line="249" w:lineRule="auto"/>
        <w:ind w:left="1134" w:right="40" w:hanging="708"/>
        <w:rPr>
          <w:w w:val="105"/>
          <w:sz w:val="24"/>
          <w:szCs w:val="24"/>
        </w:rPr>
      </w:pPr>
      <w:r w:rsidRPr="00FB3542">
        <w:rPr>
          <w:w w:val="105"/>
          <w:sz w:val="24"/>
          <w:szCs w:val="24"/>
        </w:rPr>
        <w:t>Inflation is 2.5%</w:t>
      </w:r>
      <w:r>
        <w:rPr>
          <w:w w:val="105"/>
          <w:sz w:val="24"/>
          <w:szCs w:val="24"/>
        </w:rPr>
        <w:t xml:space="preserve"> p.a. </w:t>
      </w:r>
    </w:p>
    <w:p w:rsidR="00FB3542" w:rsidRPr="00FB3542" w:rsidRDefault="00FB3542" w:rsidP="001034ED">
      <w:pPr>
        <w:pStyle w:val="BodyText"/>
        <w:kinsoku w:val="0"/>
        <w:overflowPunct w:val="0"/>
        <w:spacing w:line="249" w:lineRule="auto"/>
        <w:ind w:left="1134" w:right="40" w:hanging="708"/>
        <w:rPr>
          <w:w w:val="105"/>
          <w:sz w:val="24"/>
          <w:szCs w:val="24"/>
        </w:rPr>
      </w:pPr>
    </w:p>
    <w:p w:rsidR="001102E9" w:rsidRPr="001034ED" w:rsidRDefault="00FB3542" w:rsidP="001034ED">
      <w:pPr>
        <w:pStyle w:val="BodyText"/>
        <w:numPr>
          <w:ilvl w:val="0"/>
          <w:numId w:val="15"/>
        </w:numPr>
        <w:kinsoku w:val="0"/>
        <w:overflowPunct w:val="0"/>
        <w:spacing w:line="249" w:lineRule="auto"/>
        <w:ind w:left="1134" w:right="40" w:hanging="708"/>
        <w:rPr>
          <w:color w:val="000000"/>
        </w:rPr>
      </w:pPr>
      <w:r w:rsidRPr="00FB3542">
        <w:rPr>
          <w:w w:val="105"/>
          <w:sz w:val="24"/>
          <w:szCs w:val="24"/>
        </w:rPr>
        <w:t>Pension will</w:t>
      </w:r>
      <w:r w:rsidR="001102E9">
        <w:rPr>
          <w:w w:val="105"/>
          <w:sz w:val="24"/>
          <w:szCs w:val="24"/>
        </w:rPr>
        <w:t xml:space="preserve"> not</w:t>
      </w:r>
      <w:r w:rsidRPr="00FB3542">
        <w:rPr>
          <w:w w:val="105"/>
          <w:sz w:val="24"/>
          <w:szCs w:val="24"/>
        </w:rPr>
        <w:t xml:space="preserve"> increase in retirement </w:t>
      </w:r>
    </w:p>
    <w:p w:rsidR="001034ED" w:rsidRDefault="001034ED" w:rsidP="001034ED">
      <w:pPr>
        <w:pStyle w:val="ListParagraph"/>
        <w:rPr>
          <w:color w:val="000000"/>
        </w:rPr>
      </w:pPr>
    </w:p>
    <w:p w:rsidR="001034ED" w:rsidRDefault="001034ED" w:rsidP="001034ED">
      <w:pPr>
        <w:pStyle w:val="BodyText"/>
        <w:kinsoku w:val="0"/>
        <w:overflowPunct w:val="0"/>
        <w:spacing w:line="249" w:lineRule="auto"/>
        <w:ind w:left="1134" w:right="40"/>
        <w:rPr>
          <w:color w:val="000000"/>
        </w:rPr>
      </w:pPr>
    </w:p>
    <w:p w:rsidR="00FB3542" w:rsidRDefault="00FB3542" w:rsidP="001034ED">
      <w:pPr>
        <w:pStyle w:val="NormalWeb"/>
        <w:numPr>
          <w:ilvl w:val="0"/>
          <w:numId w:val="15"/>
        </w:numPr>
        <w:spacing w:before="0" w:beforeAutospacing="0" w:after="0" w:afterAutospacing="0"/>
        <w:ind w:left="1134" w:right="40" w:hanging="708"/>
        <w:rPr>
          <w:rFonts w:ascii="Arial" w:hAnsi="Arial" w:cs="Arial"/>
          <w:color w:val="000000"/>
        </w:rPr>
      </w:pPr>
      <w:r w:rsidRPr="00FB3542">
        <w:rPr>
          <w:rFonts w:ascii="Arial" w:hAnsi="Arial" w:cs="Arial"/>
          <w:color w:val="000000"/>
        </w:rPr>
        <w:t xml:space="preserve">The estimated annual retirement income is based on current rates. </w:t>
      </w:r>
    </w:p>
    <w:p w:rsidR="001102E9" w:rsidRDefault="001102E9" w:rsidP="001034ED">
      <w:pPr>
        <w:pStyle w:val="ListParagraph"/>
        <w:ind w:left="1134" w:hanging="708"/>
        <w:rPr>
          <w:color w:val="000000"/>
        </w:rPr>
      </w:pPr>
    </w:p>
    <w:p w:rsidR="001102E9" w:rsidRPr="00FB3542" w:rsidRDefault="001102E9" w:rsidP="001034ED">
      <w:pPr>
        <w:pStyle w:val="NormalWeb"/>
        <w:numPr>
          <w:ilvl w:val="0"/>
          <w:numId w:val="15"/>
        </w:numPr>
        <w:spacing w:before="0" w:beforeAutospacing="0" w:after="0" w:afterAutospacing="0"/>
        <w:ind w:left="1134" w:right="40" w:hanging="708"/>
        <w:rPr>
          <w:rFonts w:ascii="Arial" w:hAnsi="Arial" w:cs="Arial"/>
          <w:color w:val="000000"/>
        </w:rPr>
      </w:pPr>
      <w:r>
        <w:rPr>
          <w:rFonts w:ascii="Arial" w:hAnsi="Arial" w:cs="Arial"/>
          <w:color w:val="000000"/>
        </w:rPr>
        <w:t xml:space="preserve">An assumption has been made for an annual contribution of £20,000 expressed as a monthly payment. </w:t>
      </w:r>
    </w:p>
    <w:p w:rsidR="00FB3542" w:rsidRDefault="00FB3542" w:rsidP="00A277BA">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FB3542" w:rsidRDefault="00FB3542" w:rsidP="00A277BA">
      <w:pPr>
        <w:pStyle w:val="NormalWeb"/>
        <w:ind w:left="567" w:right="40"/>
        <w:jc w:val="both"/>
        <w:rPr>
          <w:rFonts w:ascii="Arial" w:hAnsi="Arial" w:cs="Arial"/>
          <w:color w:val="000000"/>
        </w:rPr>
      </w:pPr>
      <w:r>
        <w:rPr>
          <w:rFonts w:ascii="Arial" w:hAnsi="Arial" w:cs="Arial"/>
          <w:color w:val="000000"/>
        </w:rPr>
        <w:t xml:space="preserve">The lifetime allowance at an assumed rate of growth of 2.5% is </w:t>
      </w:r>
      <w:r w:rsidR="001102E9">
        <w:rPr>
          <w:rFonts w:ascii="Arial" w:hAnsi="Arial" w:cs="Arial"/>
          <w:color w:val="000000"/>
        </w:rPr>
        <w:t xml:space="preserve">not expected to affect your benefits and no </w:t>
      </w:r>
      <w:r>
        <w:rPr>
          <w:rFonts w:ascii="Arial" w:hAnsi="Arial" w:cs="Arial"/>
          <w:color w:val="000000"/>
        </w:rPr>
        <w:t>planning is required at this time in respect of an excess tax charge.</w:t>
      </w:r>
    </w:p>
    <w:p w:rsidR="00666090" w:rsidRDefault="00666090" w:rsidP="00A277BA">
      <w:pPr>
        <w:pStyle w:val="NormalWeb"/>
        <w:ind w:left="567" w:right="40"/>
        <w:jc w:val="both"/>
        <w:rPr>
          <w:rFonts w:ascii="Arial" w:hAnsi="Arial" w:cs="Arial"/>
          <w:color w:val="000000"/>
        </w:rPr>
      </w:pPr>
    </w:p>
    <w:p w:rsidR="00666090" w:rsidRDefault="00666090" w:rsidP="00A277BA">
      <w:pPr>
        <w:pStyle w:val="NormalWeb"/>
        <w:ind w:left="567" w:right="40"/>
        <w:jc w:val="both"/>
        <w:rPr>
          <w:rFonts w:ascii="Arial" w:hAnsi="Arial" w:cs="Arial"/>
          <w:color w:val="000000"/>
        </w:rPr>
      </w:pPr>
    </w:p>
    <w:p w:rsidR="00666090" w:rsidRDefault="00666090" w:rsidP="00A277BA">
      <w:pPr>
        <w:pStyle w:val="NormalWeb"/>
        <w:ind w:left="567" w:right="40"/>
        <w:jc w:val="both"/>
        <w:rPr>
          <w:rFonts w:ascii="Arial" w:hAnsi="Arial" w:cs="Arial"/>
          <w:color w:val="000000"/>
        </w:rPr>
      </w:pPr>
    </w:p>
    <w:p w:rsidR="00666090" w:rsidRDefault="00666090" w:rsidP="00A277BA">
      <w:pPr>
        <w:pStyle w:val="NormalWeb"/>
        <w:ind w:left="567" w:right="40"/>
        <w:jc w:val="both"/>
        <w:rPr>
          <w:rFonts w:ascii="Arial" w:hAnsi="Arial" w:cs="Arial"/>
          <w:color w:val="000000"/>
        </w:rPr>
      </w:pPr>
    </w:p>
    <w:p w:rsidR="00666090" w:rsidRDefault="00666090" w:rsidP="00A277BA">
      <w:pPr>
        <w:pStyle w:val="NormalWeb"/>
        <w:ind w:left="567" w:right="40"/>
        <w:jc w:val="both"/>
        <w:rPr>
          <w:rFonts w:ascii="Arial" w:hAnsi="Arial" w:cs="Arial"/>
          <w:color w:val="000000"/>
        </w:rPr>
      </w:pPr>
    </w:p>
    <w:p w:rsidR="00666090" w:rsidRDefault="00666090" w:rsidP="00A277BA">
      <w:pPr>
        <w:pStyle w:val="NormalWeb"/>
        <w:ind w:left="567" w:right="40"/>
        <w:jc w:val="both"/>
        <w:rPr>
          <w:rFonts w:ascii="Arial" w:hAnsi="Arial" w:cs="Arial"/>
          <w:color w:val="000000"/>
        </w:rPr>
      </w:pPr>
    </w:p>
    <w:p w:rsidR="00666090" w:rsidRPr="00666090" w:rsidRDefault="00666090" w:rsidP="00666090">
      <w:pPr>
        <w:pStyle w:val="NormalWeb"/>
        <w:ind w:left="567" w:right="40"/>
        <w:jc w:val="both"/>
        <w:rPr>
          <w:rFonts w:ascii="Arial" w:hAnsi="Arial" w:cs="Arial"/>
          <w:color w:val="000000"/>
        </w:rPr>
      </w:pP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 xml:space="preserve">Benefit Statement for </w:t>
      </w:r>
      <w:proofErr w:type="spellStart"/>
      <w:r w:rsidR="00133107">
        <w:rPr>
          <w:rFonts w:ascii="Arial" w:hAnsi="Arial" w:cs="Arial"/>
          <w:color w:val="000000"/>
        </w:rPr>
        <w:t>Punam</w:t>
      </w:r>
      <w:proofErr w:type="spellEnd"/>
      <w:r w:rsidR="00133107">
        <w:rPr>
          <w:rFonts w:ascii="Arial" w:hAnsi="Arial" w:cs="Arial"/>
          <w:color w:val="000000"/>
        </w:rPr>
        <w:t xml:space="preserve"> </w:t>
      </w:r>
      <w:proofErr w:type="spellStart"/>
      <w:r w:rsidR="00133107" w:rsidRPr="00133107">
        <w:rPr>
          <w:rFonts w:ascii="Arial" w:hAnsi="Arial" w:cs="Arial"/>
          <w:color w:val="000000"/>
        </w:rPr>
        <w:t>Raithatha</w:t>
      </w:r>
      <w:proofErr w:type="spellEnd"/>
      <w:r w:rsidRPr="00666090">
        <w:rPr>
          <w:rFonts w:ascii="Arial" w:hAnsi="Arial" w:cs="Arial"/>
          <w:color w:val="000000"/>
        </w:rPr>
        <w:t xml:space="preserve"> </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 xml:space="preserve">Estimated Retirement Fund at age 65: </w:t>
      </w:r>
      <w:r w:rsidRPr="00666090">
        <w:rPr>
          <w:rFonts w:ascii="Arial" w:hAnsi="Arial" w:cs="Arial"/>
          <w:color w:val="000000"/>
        </w:rPr>
        <w:tab/>
      </w:r>
      <w:r w:rsidRPr="00441888">
        <w:rPr>
          <w:rFonts w:ascii="Arial" w:hAnsi="Arial" w:cs="Arial"/>
          <w:color w:val="00B0F0"/>
        </w:rPr>
        <w:t>£</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 xml:space="preserve">Tax Free Cash Sum: </w:t>
      </w:r>
      <w:r w:rsidRPr="00666090">
        <w:rPr>
          <w:rFonts w:ascii="Arial" w:hAnsi="Arial" w:cs="Arial"/>
          <w:color w:val="000000"/>
        </w:rPr>
        <w:tab/>
      </w:r>
      <w:r w:rsidRPr="00666090">
        <w:rPr>
          <w:rFonts w:ascii="Arial" w:hAnsi="Arial" w:cs="Arial"/>
          <w:color w:val="000000"/>
        </w:rPr>
        <w:tab/>
      </w:r>
      <w:r w:rsidRPr="00666090">
        <w:rPr>
          <w:rFonts w:ascii="Arial" w:hAnsi="Arial" w:cs="Arial"/>
          <w:color w:val="000000"/>
        </w:rPr>
        <w:tab/>
      </w:r>
      <w:r w:rsidR="00133107">
        <w:rPr>
          <w:rFonts w:ascii="Arial" w:hAnsi="Arial" w:cs="Arial"/>
          <w:color w:val="000000"/>
        </w:rPr>
        <w:tab/>
      </w:r>
      <w:r w:rsidRPr="00441888">
        <w:rPr>
          <w:rFonts w:ascii="Arial" w:hAnsi="Arial" w:cs="Arial"/>
          <w:color w:val="00B0F0"/>
        </w:rPr>
        <w:t>£</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 xml:space="preserve">Pension Income: </w:t>
      </w:r>
      <w:r w:rsidRPr="00666090">
        <w:rPr>
          <w:rFonts w:ascii="Arial" w:hAnsi="Arial" w:cs="Arial"/>
          <w:color w:val="000000"/>
        </w:rPr>
        <w:tab/>
      </w:r>
      <w:r w:rsidRPr="00666090">
        <w:rPr>
          <w:rFonts w:ascii="Arial" w:hAnsi="Arial" w:cs="Arial"/>
          <w:color w:val="000000"/>
        </w:rPr>
        <w:tab/>
      </w:r>
      <w:r w:rsidRPr="00666090">
        <w:rPr>
          <w:rFonts w:ascii="Arial" w:hAnsi="Arial" w:cs="Arial"/>
          <w:color w:val="000000"/>
        </w:rPr>
        <w:tab/>
      </w:r>
      <w:r w:rsidRPr="00666090">
        <w:rPr>
          <w:rFonts w:ascii="Arial" w:hAnsi="Arial" w:cs="Arial"/>
          <w:color w:val="000000"/>
        </w:rPr>
        <w:tab/>
      </w:r>
      <w:r w:rsidRPr="00441888">
        <w:rPr>
          <w:rFonts w:ascii="Arial" w:hAnsi="Arial" w:cs="Arial"/>
          <w:color w:val="00B0F0"/>
        </w:rPr>
        <w:t>£</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Estimated Retirement Date: 65</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We have made the following assumptions:</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1.</w:t>
      </w:r>
      <w:r w:rsidRPr="00666090">
        <w:rPr>
          <w:rFonts w:ascii="Arial" w:hAnsi="Arial" w:cs="Arial"/>
          <w:color w:val="000000"/>
        </w:rPr>
        <w:tab/>
        <w:t>Investment growth is a net rate of 5%.</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2.</w:t>
      </w:r>
      <w:r w:rsidRPr="00666090">
        <w:rPr>
          <w:rFonts w:ascii="Arial" w:hAnsi="Arial" w:cs="Arial"/>
          <w:color w:val="000000"/>
        </w:rPr>
        <w:tab/>
        <w:t xml:space="preserve">Inflation is 2.5% p.a. </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3.</w:t>
      </w:r>
      <w:r w:rsidRPr="00666090">
        <w:rPr>
          <w:rFonts w:ascii="Arial" w:hAnsi="Arial" w:cs="Arial"/>
          <w:color w:val="000000"/>
        </w:rPr>
        <w:tab/>
        <w:t xml:space="preserve">Pension will not increase in retirement </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4.</w:t>
      </w:r>
      <w:r w:rsidRPr="00666090">
        <w:rPr>
          <w:rFonts w:ascii="Arial" w:hAnsi="Arial" w:cs="Arial"/>
          <w:color w:val="000000"/>
        </w:rPr>
        <w:tab/>
        <w:t xml:space="preserve">The estimated annual retirement income is based on current rates. </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5.</w:t>
      </w:r>
      <w:r w:rsidRPr="00666090">
        <w:rPr>
          <w:rFonts w:ascii="Arial" w:hAnsi="Arial" w:cs="Arial"/>
          <w:color w:val="000000"/>
        </w:rPr>
        <w:tab/>
        <w:t xml:space="preserve">An assumption has been made for an annual contribution of </w:t>
      </w:r>
      <w:r>
        <w:rPr>
          <w:rFonts w:ascii="Arial" w:hAnsi="Arial" w:cs="Arial"/>
          <w:color w:val="000000"/>
        </w:rPr>
        <w:tab/>
      </w:r>
      <w:r>
        <w:rPr>
          <w:rFonts w:ascii="Arial" w:hAnsi="Arial" w:cs="Arial"/>
          <w:color w:val="000000"/>
        </w:rPr>
        <w:tab/>
      </w:r>
      <w:r>
        <w:rPr>
          <w:rFonts w:ascii="Arial" w:hAnsi="Arial" w:cs="Arial"/>
          <w:color w:val="000000"/>
        </w:rPr>
        <w:tab/>
      </w:r>
      <w:r w:rsidRPr="00666090">
        <w:rPr>
          <w:rFonts w:ascii="Arial" w:hAnsi="Arial" w:cs="Arial"/>
          <w:color w:val="000000"/>
        </w:rPr>
        <w:t xml:space="preserve">£20,000 expressed as a monthly payment. </w:t>
      </w:r>
    </w:p>
    <w:p w:rsidR="00666090" w:rsidRPr="00666090" w:rsidRDefault="00666090" w:rsidP="00666090">
      <w:pPr>
        <w:pStyle w:val="NormalWeb"/>
        <w:ind w:left="567" w:right="40"/>
        <w:jc w:val="both"/>
        <w:rPr>
          <w:rFonts w:ascii="Arial" w:hAnsi="Arial" w:cs="Arial"/>
          <w:color w:val="000000"/>
        </w:rPr>
      </w:pPr>
      <w:r w:rsidRPr="00666090">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666090" w:rsidRPr="00FB3542" w:rsidRDefault="00666090" w:rsidP="00666090">
      <w:pPr>
        <w:pStyle w:val="NormalWeb"/>
        <w:ind w:left="567" w:right="40"/>
        <w:jc w:val="both"/>
        <w:rPr>
          <w:rFonts w:ascii="Arial" w:hAnsi="Arial" w:cs="Arial"/>
          <w:color w:val="000000"/>
        </w:rPr>
      </w:pPr>
      <w:r w:rsidRPr="00666090">
        <w:rPr>
          <w:rFonts w:ascii="Arial" w:hAnsi="Arial" w:cs="Arial"/>
          <w:color w:val="000000"/>
        </w:rPr>
        <w:t>The lifetime allowance at an assumed rate of growth of 2.5% is not expected to affect your benefits and no planning is required at this time in respect of an excess tax charge.</w:t>
      </w:r>
    </w:p>
    <w:p w:rsidR="00FB3542" w:rsidRDefault="00FB3542"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667D1B" w:rsidRDefault="00667D1B" w:rsidP="007F23D0">
      <w:pPr>
        <w:pStyle w:val="BodyText"/>
        <w:kinsoku w:val="0"/>
        <w:overflowPunct w:val="0"/>
        <w:spacing w:line="249" w:lineRule="auto"/>
        <w:ind w:right="40"/>
        <w:rPr>
          <w:w w:val="105"/>
        </w:rPr>
      </w:pPr>
    </w:p>
    <w:p w:rsidR="00667D1B" w:rsidRDefault="00667D1B" w:rsidP="007F23D0">
      <w:pPr>
        <w:pStyle w:val="BodyText"/>
        <w:kinsoku w:val="0"/>
        <w:overflowPunct w:val="0"/>
        <w:spacing w:line="249" w:lineRule="auto"/>
        <w:ind w:right="40"/>
        <w:rPr>
          <w:w w:val="105"/>
        </w:rPr>
      </w:pPr>
    </w:p>
    <w:p w:rsidR="00E045C6" w:rsidRDefault="00E045C6" w:rsidP="007F23D0">
      <w:pPr>
        <w:spacing w:line="276" w:lineRule="auto"/>
        <w:ind w:right="40"/>
        <w:jc w:val="both"/>
      </w:pPr>
    </w:p>
    <w:p w:rsidR="00441888" w:rsidRDefault="00441888" w:rsidP="007F23D0">
      <w:pPr>
        <w:spacing w:line="276" w:lineRule="auto"/>
        <w:ind w:right="40"/>
        <w:jc w:val="both"/>
      </w:pPr>
    </w:p>
    <w:p w:rsidR="00441888" w:rsidRDefault="00441888" w:rsidP="007F23D0">
      <w:pPr>
        <w:spacing w:line="276" w:lineRule="auto"/>
        <w:ind w:right="40"/>
        <w:jc w:val="both"/>
      </w:pPr>
    </w:p>
    <w:p w:rsidR="00441888" w:rsidRDefault="00441888" w:rsidP="007F23D0">
      <w:pPr>
        <w:spacing w:line="276" w:lineRule="auto"/>
        <w:ind w:right="40"/>
        <w:jc w:val="both"/>
      </w:pPr>
    </w:p>
    <w:p w:rsidR="00E045C6" w:rsidRDefault="00E045C6" w:rsidP="007F23D0">
      <w:pPr>
        <w:pStyle w:val="BodyText"/>
        <w:ind w:right="40"/>
        <w:rPr>
          <w:sz w:val="20"/>
        </w:rPr>
      </w:pPr>
    </w:p>
    <w:p w:rsidR="00DF1CFF" w:rsidRPr="001102E9" w:rsidRDefault="001102E9" w:rsidP="00A277BA">
      <w:pPr>
        <w:tabs>
          <w:tab w:val="left" w:pos="1134"/>
        </w:tabs>
        <w:spacing w:before="84"/>
        <w:ind w:left="567" w:right="40"/>
        <w:rPr>
          <w:b/>
          <w:sz w:val="48"/>
        </w:rPr>
      </w:pPr>
      <w:r>
        <w:rPr>
          <w:b/>
          <w:color w:val="1FAED5"/>
          <w:sz w:val="48"/>
        </w:rPr>
        <w:t>6.</w:t>
      </w:r>
      <w:r w:rsidR="00DF1CFF" w:rsidRPr="001102E9">
        <w:rPr>
          <w:b/>
          <w:color w:val="1FAED5"/>
          <w:sz w:val="48"/>
        </w:rPr>
        <w:t xml:space="preserve">Inflation and Interest Rate </w:t>
      </w:r>
      <w:r w:rsidR="00DF1CFF" w:rsidRPr="001102E9">
        <w:rPr>
          <w:b/>
          <w:color w:val="1FAED5"/>
          <w:sz w:val="48"/>
        </w:rPr>
        <w:br/>
        <w:t>Outlook</w:t>
      </w:r>
    </w:p>
    <w:p w:rsidR="00DF1CFF" w:rsidRDefault="00DF1CFF" w:rsidP="00A277BA">
      <w:pPr>
        <w:pStyle w:val="ListParagraph"/>
        <w:tabs>
          <w:tab w:val="left" w:pos="1276"/>
        </w:tabs>
        <w:spacing w:before="84"/>
        <w:ind w:left="567" w:right="40"/>
        <w:jc w:val="both"/>
        <w:rPr>
          <w:b/>
          <w:sz w:val="48"/>
        </w:rPr>
      </w:pPr>
    </w:p>
    <w:p w:rsidR="00DF1CFF" w:rsidRDefault="00DF1CFF" w:rsidP="00A277BA">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A277BA">
      <w:pPr>
        <w:pStyle w:val="BodyText"/>
        <w:ind w:left="567" w:right="40"/>
        <w:jc w:val="both"/>
      </w:pPr>
    </w:p>
    <w:p w:rsidR="00DF1CFF" w:rsidRDefault="00DF1CFF" w:rsidP="00A277BA">
      <w:pPr>
        <w:pStyle w:val="BodyText"/>
        <w:ind w:left="567" w:right="40"/>
        <w:jc w:val="both"/>
      </w:pPr>
      <w:r>
        <w:t xml:space="preserve">The MPC’s central projection in the November Report was for four-quarter GDP growth to pick up from early 2018 and settle around 1¾%. </w:t>
      </w:r>
    </w:p>
    <w:p w:rsidR="00DF1CFF" w:rsidRDefault="00DF1CFF" w:rsidP="00A277BA">
      <w:pPr>
        <w:pStyle w:val="BodyText"/>
        <w:ind w:left="567" w:right="40"/>
        <w:jc w:val="both"/>
      </w:pPr>
    </w:p>
    <w:p w:rsidR="00DF1CFF" w:rsidRDefault="00DF1CFF" w:rsidP="00A277BA">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A277BA">
      <w:pPr>
        <w:pStyle w:val="BodyText"/>
        <w:ind w:left="567" w:right="40"/>
        <w:jc w:val="both"/>
      </w:pPr>
    </w:p>
    <w:p w:rsidR="00DF1CFF" w:rsidRDefault="00DF1CFF" w:rsidP="00A277BA">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A277BA">
      <w:pPr>
        <w:pStyle w:val="BodyText"/>
        <w:ind w:left="567" w:right="40"/>
        <w:jc w:val="both"/>
      </w:pPr>
    </w:p>
    <w:p w:rsidR="00DF1CFF" w:rsidRDefault="00DF1CFF" w:rsidP="00A277BA">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A277BA">
      <w:pPr>
        <w:pStyle w:val="BodyText"/>
        <w:ind w:left="567" w:right="40"/>
        <w:jc w:val="both"/>
      </w:pPr>
    </w:p>
    <w:p w:rsidR="00DF1CFF" w:rsidRDefault="00DF1CFF" w:rsidP="00A277BA">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A277BA">
      <w:pPr>
        <w:pStyle w:val="BodyText"/>
        <w:ind w:left="567" w:right="40"/>
        <w:jc w:val="both"/>
      </w:pPr>
    </w:p>
    <w:p w:rsidR="00DF1CFF" w:rsidRDefault="00DF1CFF" w:rsidP="00A277BA">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A277BA">
      <w:pPr>
        <w:pStyle w:val="BodyText"/>
        <w:ind w:left="567" w:right="40"/>
        <w:jc w:val="both"/>
      </w:pPr>
    </w:p>
    <w:p w:rsidR="00DF1CFF" w:rsidRDefault="00DF1CFF" w:rsidP="00A277BA">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A277BA">
      <w:pPr>
        <w:pStyle w:val="BodyText"/>
        <w:ind w:left="567" w:right="40"/>
        <w:jc w:val="both"/>
      </w:pPr>
    </w:p>
    <w:p w:rsidR="00DF1CFF" w:rsidRPr="00DF1CFF" w:rsidRDefault="00DF1CFF" w:rsidP="00A277BA">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1102E9" w:rsidP="001034ED">
      <w:pPr>
        <w:pStyle w:val="Heading1"/>
        <w:tabs>
          <w:tab w:val="left" w:pos="1600"/>
          <w:tab w:val="left" w:pos="1601"/>
        </w:tabs>
        <w:spacing w:before="55"/>
        <w:ind w:left="567" w:right="40" w:firstLine="0"/>
      </w:pPr>
      <w:r>
        <w:rPr>
          <w:color w:val="1FAED5"/>
        </w:rPr>
        <w:t>7.</w:t>
      </w:r>
      <w:r w:rsidR="006D748E">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Pr="00A277BA" w:rsidRDefault="008548C1" w:rsidP="006D748E">
      <w:pPr>
        <w:pStyle w:val="BodyText"/>
        <w:spacing w:before="1" w:line="276" w:lineRule="auto"/>
        <w:ind w:left="567" w:right="40"/>
        <w:jc w:val="both"/>
        <w:rPr>
          <w:color w:val="222222"/>
          <w:sz w:val="24"/>
          <w:szCs w:val="24"/>
          <w:shd w:val="clear" w:color="auto" w:fill="FFFFFF"/>
        </w:rPr>
      </w:pPr>
      <w:r w:rsidRPr="00A277BA">
        <w:rPr>
          <w:color w:val="222222"/>
          <w:sz w:val="24"/>
          <w:szCs w:val="24"/>
          <w:shd w:val="clear" w:color="auto" w:fill="FFFFFF"/>
        </w:rPr>
        <w:t>The </w:t>
      </w:r>
      <w:r w:rsidRPr="00A277BA">
        <w:rPr>
          <w:b/>
          <w:bCs/>
          <w:color w:val="222222"/>
          <w:sz w:val="24"/>
          <w:szCs w:val="24"/>
          <w:shd w:val="clear" w:color="auto" w:fill="FFFFFF"/>
        </w:rPr>
        <w:t>General Data Protection Regulation</w:t>
      </w:r>
      <w:r w:rsidRPr="00A277BA">
        <w:rPr>
          <w:color w:val="222222"/>
          <w:sz w:val="24"/>
          <w:szCs w:val="24"/>
          <w:shd w:val="clear" w:color="auto" w:fill="FFFFFF"/>
        </w:rPr>
        <w:t> (</w:t>
      </w:r>
      <w:r w:rsidRPr="00A277BA">
        <w:rPr>
          <w:b/>
          <w:bCs/>
          <w:color w:val="222222"/>
          <w:sz w:val="24"/>
          <w:szCs w:val="24"/>
          <w:shd w:val="clear" w:color="auto" w:fill="FFFFFF"/>
        </w:rPr>
        <w:t>GDPR</w:t>
      </w:r>
      <w:r w:rsidRPr="00A277BA">
        <w:rPr>
          <w:color w:val="222222"/>
          <w:sz w:val="24"/>
          <w:szCs w:val="24"/>
          <w:shd w:val="clear" w:color="auto" w:fill="FFFFFF"/>
        </w:rPr>
        <w:t>) is a regulation intended to strengthen and unify data protection for all individuals within the European Union.</w:t>
      </w:r>
    </w:p>
    <w:p w:rsidR="008548C1" w:rsidRPr="00A277BA" w:rsidRDefault="008548C1" w:rsidP="006D748E">
      <w:pPr>
        <w:pStyle w:val="BodyText"/>
        <w:spacing w:before="1" w:line="276" w:lineRule="auto"/>
        <w:ind w:left="567" w:right="40"/>
        <w:jc w:val="both"/>
        <w:rPr>
          <w:color w:val="222222"/>
          <w:sz w:val="24"/>
          <w:szCs w:val="24"/>
          <w:shd w:val="clear" w:color="auto" w:fill="FFFFFF"/>
        </w:rPr>
      </w:pPr>
      <w:r w:rsidRPr="00A277BA">
        <w:rPr>
          <w:color w:val="222222"/>
          <w:sz w:val="24"/>
          <w:szCs w:val="24"/>
          <w:shd w:val="clear" w:color="auto" w:fill="FFFFFF"/>
        </w:rPr>
        <w:t xml:space="preserve">It will be effective on 25 May 2018 and replaces the data protection act. It is the biggest shake up in generations to data use, privacy and business impact. </w:t>
      </w:r>
      <w:r w:rsidR="000A77F4" w:rsidRPr="00A277BA">
        <w:rPr>
          <w:color w:val="222222"/>
          <w:sz w:val="24"/>
          <w:szCs w:val="24"/>
          <w:shd w:val="clear" w:color="auto" w:fill="FFFFFF"/>
        </w:rPr>
        <w:t>It covers anyone who is engaged in data use</w:t>
      </w:r>
      <w:r w:rsidR="00BF04DF" w:rsidRPr="00A277BA">
        <w:rPr>
          <w:color w:val="222222"/>
          <w:sz w:val="24"/>
          <w:szCs w:val="24"/>
          <w:shd w:val="clear" w:color="auto" w:fill="FFFFFF"/>
        </w:rPr>
        <w:t xml:space="preserve"> and storage.</w:t>
      </w:r>
    </w:p>
    <w:p w:rsidR="008548C1" w:rsidRPr="00A277BA" w:rsidRDefault="008548C1" w:rsidP="006D748E">
      <w:pPr>
        <w:pStyle w:val="BodyText"/>
        <w:spacing w:before="1" w:line="276" w:lineRule="auto"/>
        <w:ind w:left="567" w:right="40"/>
        <w:jc w:val="both"/>
        <w:rPr>
          <w:sz w:val="24"/>
          <w:szCs w:val="24"/>
        </w:rPr>
      </w:pPr>
    </w:p>
    <w:p w:rsidR="006D748E" w:rsidRPr="00A277BA" w:rsidRDefault="006D748E" w:rsidP="006D748E">
      <w:pPr>
        <w:pStyle w:val="BodyText"/>
        <w:spacing w:before="1" w:line="276" w:lineRule="auto"/>
        <w:ind w:left="567" w:right="40"/>
        <w:jc w:val="both"/>
        <w:rPr>
          <w:sz w:val="24"/>
          <w:szCs w:val="24"/>
        </w:rPr>
      </w:pPr>
      <w:r w:rsidRPr="00A277BA">
        <w:rPr>
          <w:sz w:val="24"/>
          <w:szCs w:val="24"/>
        </w:rPr>
        <w:t xml:space="preserve">Small </w:t>
      </w:r>
      <w:proofErr w:type="spellStart"/>
      <w:r w:rsidRPr="00A277BA">
        <w:rPr>
          <w:sz w:val="24"/>
          <w:szCs w:val="24"/>
        </w:rPr>
        <w:t>self administered</w:t>
      </w:r>
      <w:proofErr w:type="spellEnd"/>
      <w:r w:rsidRPr="00A277BA">
        <w:rPr>
          <w:sz w:val="24"/>
          <w:szCs w:val="24"/>
        </w:rPr>
        <w:t xml:space="preserve"> schemes have a unique relationship in that the employer sponsoring the scheme, the members and trustees are connected.</w:t>
      </w:r>
      <w:r w:rsidR="00BF04DF" w:rsidRPr="00A277BA">
        <w:rPr>
          <w:sz w:val="24"/>
          <w:szCs w:val="24"/>
        </w:rPr>
        <w:t xml:space="preserve"> Your scheme will be affected by GDPR</w:t>
      </w:r>
      <w:r w:rsidR="00A277BA" w:rsidRPr="00A277BA">
        <w:rPr>
          <w:sz w:val="24"/>
          <w:szCs w:val="24"/>
        </w:rPr>
        <w:t>, because of the different bodies that exist in respect of the scheme</w:t>
      </w:r>
      <w:proofErr w:type="gramStart"/>
      <w:r w:rsidR="00A277BA" w:rsidRPr="00A277BA">
        <w:rPr>
          <w:sz w:val="24"/>
          <w:szCs w:val="24"/>
        </w:rPr>
        <w:t>.</w:t>
      </w:r>
      <w:r w:rsidR="00BF04DF" w:rsidRPr="00A277BA">
        <w:rPr>
          <w:sz w:val="24"/>
          <w:szCs w:val="24"/>
        </w:rPr>
        <w:t>.</w:t>
      </w:r>
      <w:proofErr w:type="gramEnd"/>
      <w:r w:rsidR="00BF04DF" w:rsidRPr="00A277BA">
        <w:rPr>
          <w:sz w:val="24"/>
          <w:szCs w:val="24"/>
        </w:rPr>
        <w:t xml:space="preserve"> To assist, you </w:t>
      </w:r>
      <w:r w:rsidR="00E43354" w:rsidRPr="00A277BA">
        <w:rPr>
          <w:sz w:val="24"/>
          <w:szCs w:val="24"/>
        </w:rPr>
        <w:t xml:space="preserve">will shortly receive a resolution from us to be appointed to handle </w:t>
      </w:r>
      <w:r w:rsidR="008548C1" w:rsidRPr="00A277BA">
        <w:rPr>
          <w:sz w:val="24"/>
          <w:szCs w:val="24"/>
        </w:rPr>
        <w:t xml:space="preserve">much of </w:t>
      </w:r>
      <w:r w:rsidR="00E43354" w:rsidRPr="00A277BA">
        <w:rPr>
          <w:sz w:val="24"/>
          <w:szCs w:val="24"/>
        </w:rPr>
        <w:t>the new requirements of GDPR in respect of your scheme.</w:t>
      </w:r>
    </w:p>
    <w:p w:rsidR="00E43354" w:rsidRPr="00A277BA" w:rsidRDefault="00E43354" w:rsidP="006D748E">
      <w:pPr>
        <w:pStyle w:val="BodyText"/>
        <w:spacing w:before="1" w:line="276" w:lineRule="auto"/>
        <w:ind w:left="567" w:right="40"/>
        <w:jc w:val="both"/>
        <w:rPr>
          <w:sz w:val="24"/>
          <w:szCs w:val="24"/>
        </w:rPr>
      </w:pPr>
    </w:p>
    <w:p w:rsidR="00E43354" w:rsidRPr="00A277BA" w:rsidRDefault="00E43354" w:rsidP="006D748E">
      <w:pPr>
        <w:pStyle w:val="BodyText"/>
        <w:spacing w:before="1" w:line="276" w:lineRule="auto"/>
        <w:ind w:left="567" w:right="40"/>
        <w:jc w:val="both"/>
        <w:rPr>
          <w:sz w:val="24"/>
          <w:szCs w:val="24"/>
        </w:rPr>
      </w:pPr>
      <w:r w:rsidRPr="00A277BA">
        <w:rPr>
          <w:b/>
          <w:sz w:val="24"/>
          <w:szCs w:val="24"/>
        </w:rPr>
        <w:t xml:space="preserve">If the sponsoring employer is a trading company </w:t>
      </w:r>
      <w:r w:rsidR="00BF04DF" w:rsidRPr="00A277BA">
        <w:rPr>
          <w:b/>
          <w:sz w:val="24"/>
          <w:szCs w:val="24"/>
        </w:rPr>
        <w:t xml:space="preserve">and holds personal data </w:t>
      </w:r>
      <w:r w:rsidRPr="00A277BA">
        <w:rPr>
          <w:b/>
          <w:sz w:val="24"/>
          <w:szCs w:val="24"/>
        </w:rPr>
        <w:t>it will be affected by the regulations</w:t>
      </w:r>
      <w:r w:rsidRPr="00A277BA">
        <w:rPr>
          <w:sz w:val="24"/>
          <w:szCs w:val="24"/>
        </w:rPr>
        <w:t xml:space="preserve"> and as such, our GDRP service can </w:t>
      </w:r>
      <w:r w:rsidR="00BF04DF" w:rsidRPr="00A277BA">
        <w:rPr>
          <w:sz w:val="24"/>
          <w:szCs w:val="24"/>
        </w:rPr>
        <w:t>by extension</w:t>
      </w:r>
      <w:r w:rsidRPr="00A277BA">
        <w:rPr>
          <w:sz w:val="24"/>
          <w:szCs w:val="24"/>
        </w:rPr>
        <w:t xml:space="preserve"> help your business comply.</w:t>
      </w:r>
    </w:p>
    <w:p w:rsidR="00BF04DF" w:rsidRPr="00A277BA" w:rsidRDefault="00BF04DF" w:rsidP="006D748E">
      <w:pPr>
        <w:pStyle w:val="BodyText"/>
        <w:spacing w:before="1" w:line="276" w:lineRule="auto"/>
        <w:ind w:left="567" w:right="40"/>
        <w:jc w:val="both"/>
        <w:rPr>
          <w:sz w:val="24"/>
          <w:szCs w:val="24"/>
        </w:rPr>
      </w:pPr>
    </w:p>
    <w:p w:rsidR="00BF04DF" w:rsidRPr="00A277BA"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A277BA">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Pr="00A277BA" w:rsidRDefault="00B20A31" w:rsidP="006D748E">
      <w:pPr>
        <w:pStyle w:val="BodyText"/>
        <w:spacing w:before="1" w:line="276" w:lineRule="auto"/>
        <w:ind w:left="567" w:right="40"/>
        <w:jc w:val="both"/>
        <w:rPr>
          <w:sz w:val="24"/>
          <w:szCs w:val="24"/>
        </w:rPr>
      </w:pPr>
    </w:p>
    <w:p w:rsidR="00B20A31" w:rsidRPr="00A277BA" w:rsidRDefault="00B20A31" w:rsidP="006D748E">
      <w:pPr>
        <w:pStyle w:val="BodyText"/>
        <w:spacing w:before="1" w:line="276" w:lineRule="auto"/>
        <w:ind w:left="567" w:right="40"/>
        <w:jc w:val="both"/>
        <w:rPr>
          <w:sz w:val="24"/>
          <w:szCs w:val="24"/>
        </w:rPr>
      </w:pPr>
      <w:r w:rsidRPr="00A277BA">
        <w:rPr>
          <w:sz w:val="24"/>
          <w:szCs w:val="24"/>
        </w:rPr>
        <w:t xml:space="preserve">Our newsletter, which is enclosed fully explains how </w:t>
      </w:r>
      <w:r w:rsidR="00BF04DF" w:rsidRPr="00A277BA">
        <w:rPr>
          <w:sz w:val="24"/>
          <w:szCs w:val="24"/>
        </w:rPr>
        <w:t>GDPR</w:t>
      </w:r>
      <w:r w:rsidRPr="00A277BA">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Pr="00A277BA" w:rsidRDefault="008548C1" w:rsidP="008548C1">
      <w:pPr>
        <w:pStyle w:val="BodyText"/>
        <w:spacing w:before="1" w:line="276" w:lineRule="auto"/>
        <w:ind w:left="567" w:right="40"/>
        <w:jc w:val="both"/>
        <w:rPr>
          <w:sz w:val="24"/>
          <w:szCs w:val="24"/>
        </w:rPr>
      </w:pPr>
    </w:p>
    <w:p w:rsidR="008548C1" w:rsidRPr="00A277BA" w:rsidRDefault="008548C1" w:rsidP="008548C1">
      <w:pPr>
        <w:pStyle w:val="BodyText"/>
        <w:spacing w:before="1" w:line="276" w:lineRule="auto"/>
        <w:ind w:left="567" w:right="40"/>
        <w:jc w:val="both"/>
        <w:rPr>
          <w:sz w:val="24"/>
          <w:szCs w:val="24"/>
        </w:rPr>
      </w:pPr>
      <w:r w:rsidRPr="00A277BA">
        <w:rPr>
          <w:sz w:val="24"/>
          <w:szCs w:val="24"/>
        </w:rPr>
        <w:t>We have recently added new qualified GDPR Practitioners who are qualified to advise on GDRP</w:t>
      </w:r>
      <w:r w:rsidR="00BF04DF" w:rsidRPr="00A277BA">
        <w:rPr>
          <w:sz w:val="24"/>
          <w:szCs w:val="24"/>
        </w:rPr>
        <w:t xml:space="preserve"> and this is being headed by Merle </w:t>
      </w:r>
      <w:proofErr w:type="spellStart"/>
      <w:r w:rsidR="00BF04DF" w:rsidRPr="00A277BA">
        <w:rPr>
          <w:sz w:val="24"/>
          <w:szCs w:val="24"/>
        </w:rPr>
        <w:t>Oper</w:t>
      </w:r>
      <w:proofErr w:type="spellEnd"/>
      <w:r w:rsidR="00BF04DF" w:rsidRPr="00A277BA">
        <w:rPr>
          <w:sz w:val="24"/>
          <w:szCs w:val="24"/>
        </w:rPr>
        <w:t xml:space="preserve">. You can email Merle at </w:t>
      </w:r>
      <w:hyperlink r:id="rId9" w:history="1">
        <w:r w:rsidR="00BF04DF" w:rsidRPr="00A277BA">
          <w:rPr>
            <w:rStyle w:val="Hyperlink"/>
            <w:sz w:val="24"/>
            <w:szCs w:val="24"/>
          </w:rPr>
          <w:t>merle@pensionpractitioner.com</w:t>
        </w:r>
      </w:hyperlink>
      <w:r w:rsidR="00BF04DF" w:rsidRPr="00A277BA">
        <w:rPr>
          <w:sz w:val="24"/>
          <w:szCs w:val="24"/>
        </w:rPr>
        <w:t xml:space="preserve"> for more information or assistance.</w:t>
      </w:r>
    </w:p>
    <w:p w:rsidR="008548C1" w:rsidRPr="00A277BA" w:rsidRDefault="008548C1" w:rsidP="006D748E">
      <w:pPr>
        <w:pStyle w:val="BodyText"/>
        <w:spacing w:before="1" w:line="276" w:lineRule="auto"/>
        <w:ind w:left="567" w:right="40"/>
        <w:jc w:val="both"/>
      </w:pPr>
    </w:p>
    <w:p w:rsidR="00B20A31" w:rsidRDefault="00B20A31">
      <w:pPr>
        <w:rPr>
          <w:sz w:val="24"/>
          <w:szCs w:val="24"/>
        </w:rPr>
      </w:pPr>
      <w:r>
        <w:rPr>
          <w:sz w:val="24"/>
          <w:szCs w:val="24"/>
        </w:rPr>
        <w:br w:type="page"/>
      </w:r>
    </w:p>
    <w:p w:rsidR="00E045C6" w:rsidRPr="006D748E" w:rsidRDefault="00E045C6" w:rsidP="007F23D0">
      <w:pPr>
        <w:pStyle w:val="BodyText"/>
        <w:ind w:right="40"/>
        <w:rPr>
          <w:sz w:val="24"/>
          <w:szCs w:val="24"/>
        </w:rPr>
      </w:pPr>
    </w:p>
    <w:p w:rsidR="00BF04DF" w:rsidRDefault="001102E9" w:rsidP="001034ED">
      <w:pPr>
        <w:pStyle w:val="Heading1"/>
        <w:tabs>
          <w:tab w:val="left" w:pos="567"/>
        </w:tabs>
        <w:spacing w:before="222" w:line="276" w:lineRule="auto"/>
        <w:ind w:left="567" w:right="40" w:firstLine="0"/>
        <w:rPr>
          <w:b w:val="0"/>
          <w:sz w:val="24"/>
          <w:szCs w:val="24"/>
        </w:rPr>
      </w:pPr>
      <w:r>
        <w:rPr>
          <w:color w:val="1FAED5"/>
        </w:rPr>
        <w:t>8.</w:t>
      </w:r>
      <w:r w:rsidR="00667D1B">
        <w:rPr>
          <w:color w:val="1FAED5"/>
        </w:rPr>
        <w:t xml:space="preserve"> </w:t>
      </w:r>
      <w:r>
        <w:rPr>
          <w:color w:val="1FAED5"/>
        </w:rPr>
        <w:t>Action plan 2018</w:t>
      </w:r>
      <w:r>
        <w:rPr>
          <w:color w:val="1FAED5"/>
        </w:rPr>
        <w:br/>
      </w:r>
      <w:r w:rsidR="001034ED">
        <w:rPr>
          <w:b w:val="0"/>
          <w:sz w:val="24"/>
          <w:szCs w:val="24"/>
        </w:rPr>
        <w:br/>
      </w:r>
      <w:r w:rsidR="00BF04DF" w:rsidRPr="00BF04DF">
        <w:rPr>
          <w:b w:val="0"/>
          <w:sz w:val="24"/>
          <w:szCs w:val="24"/>
        </w:rPr>
        <w:t>I propose the following action plan in 2018</w:t>
      </w:r>
      <w:r w:rsidR="00A277BA">
        <w:rPr>
          <w:b w:val="0"/>
          <w:sz w:val="24"/>
          <w:szCs w:val="24"/>
        </w:rPr>
        <w:t>/19 scheme year</w:t>
      </w:r>
      <w:r w:rsidR="00BF04DF">
        <w:rPr>
          <w:b w:val="0"/>
          <w:sz w:val="24"/>
          <w:szCs w:val="24"/>
        </w:rPr>
        <w:t>.</w:t>
      </w: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0"/>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35" w:rsidRDefault="00841E35">
      <w:r>
        <w:separator/>
      </w:r>
    </w:p>
  </w:endnote>
  <w:endnote w:type="continuationSeparator" w:id="0">
    <w:p w:rsidR="00841E35" w:rsidRDefault="008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D" w:rsidRDefault="00986DA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35" w:rsidRDefault="00841E35">
      <w:r>
        <w:separator/>
      </w:r>
    </w:p>
  </w:footnote>
  <w:footnote w:type="continuationSeparator" w:id="0">
    <w:p w:rsidR="00841E35" w:rsidRDefault="00841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571DB1"/>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FF7840"/>
    <w:multiLevelType w:val="hybridMultilevel"/>
    <w:tmpl w:val="00400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247CB5"/>
    <w:multiLevelType w:val="hybridMultilevel"/>
    <w:tmpl w:val="433E054C"/>
    <w:lvl w:ilvl="0" w:tplc="5B7E4A48">
      <w:start w:val="5"/>
      <w:numFmt w:val="decimal"/>
      <w:lvlText w:val="%1."/>
      <w:lvlJc w:val="left"/>
      <w:pPr>
        <w:ind w:left="1080" w:hanging="720"/>
      </w:pPr>
      <w:rPr>
        <w:rFonts w:hint="default"/>
        <w:color w:val="1FAE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9">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791DD3"/>
    <w:multiLevelType w:val="hybridMultilevel"/>
    <w:tmpl w:val="A1D62C8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DE0DF6"/>
    <w:multiLevelType w:val="hybridMultilevel"/>
    <w:tmpl w:val="6DDE64C2"/>
    <w:lvl w:ilvl="0" w:tplc="9B629C52">
      <w:start w:val="5"/>
      <w:numFmt w:val="decimal"/>
      <w:lvlText w:val="%1."/>
      <w:lvlJc w:val="left"/>
      <w:pPr>
        <w:ind w:left="1287" w:hanging="720"/>
      </w:pPr>
      <w:rPr>
        <w:rFonts w:hint="default"/>
        <w:color w:val="1FAED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11"/>
  </w:num>
  <w:num w:numId="4">
    <w:abstractNumId w:val="15"/>
  </w:num>
  <w:num w:numId="5">
    <w:abstractNumId w:val="4"/>
  </w:num>
  <w:num w:numId="6">
    <w:abstractNumId w:val="3"/>
  </w:num>
  <w:num w:numId="7">
    <w:abstractNumId w:val="0"/>
  </w:num>
  <w:num w:numId="8">
    <w:abstractNumId w:val="12"/>
  </w:num>
  <w:num w:numId="9">
    <w:abstractNumId w:val="10"/>
  </w:num>
  <w:num w:numId="10">
    <w:abstractNumId w:val="9"/>
  </w:num>
  <w:num w:numId="11">
    <w:abstractNumId w:val="1"/>
  </w:num>
  <w:num w:numId="12">
    <w:abstractNumId w:val="13"/>
  </w:num>
  <w:num w:numId="13">
    <w:abstractNumId w:val="16"/>
  </w:num>
  <w:num w:numId="14">
    <w:abstractNumId w:val="5"/>
  </w:num>
  <w:num w:numId="15">
    <w:abstractNumId w:val="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A72D5"/>
    <w:rsid w:val="000A77F4"/>
    <w:rsid w:val="000C17B8"/>
    <w:rsid w:val="001034ED"/>
    <w:rsid w:val="001102E9"/>
    <w:rsid w:val="00133107"/>
    <w:rsid w:val="001625B1"/>
    <w:rsid w:val="00195B1E"/>
    <w:rsid w:val="001E1097"/>
    <w:rsid w:val="00343E33"/>
    <w:rsid w:val="00355148"/>
    <w:rsid w:val="003A0971"/>
    <w:rsid w:val="003A72D3"/>
    <w:rsid w:val="003E1365"/>
    <w:rsid w:val="00441888"/>
    <w:rsid w:val="00460469"/>
    <w:rsid w:val="00582EA0"/>
    <w:rsid w:val="00600CA6"/>
    <w:rsid w:val="0064183D"/>
    <w:rsid w:val="00666090"/>
    <w:rsid w:val="00667D1B"/>
    <w:rsid w:val="00692426"/>
    <w:rsid w:val="006B3197"/>
    <w:rsid w:val="006D748E"/>
    <w:rsid w:val="00773D22"/>
    <w:rsid w:val="007F1EA4"/>
    <w:rsid w:val="007F23D0"/>
    <w:rsid w:val="00841E35"/>
    <w:rsid w:val="00841FFD"/>
    <w:rsid w:val="008548C1"/>
    <w:rsid w:val="008F332D"/>
    <w:rsid w:val="00986DAD"/>
    <w:rsid w:val="00A277BA"/>
    <w:rsid w:val="00AC3193"/>
    <w:rsid w:val="00AD38C1"/>
    <w:rsid w:val="00B20A31"/>
    <w:rsid w:val="00BD1A4E"/>
    <w:rsid w:val="00BF04DF"/>
    <w:rsid w:val="00C014AC"/>
    <w:rsid w:val="00C60838"/>
    <w:rsid w:val="00C8056E"/>
    <w:rsid w:val="00D87C6B"/>
    <w:rsid w:val="00DB63E2"/>
    <w:rsid w:val="00DC2693"/>
    <w:rsid w:val="00DF1CFF"/>
    <w:rsid w:val="00E045C6"/>
    <w:rsid w:val="00E1136E"/>
    <w:rsid w:val="00E43354"/>
    <w:rsid w:val="00E768DB"/>
    <w:rsid w:val="00F34D50"/>
    <w:rsid w:val="00F74D38"/>
    <w:rsid w:val="00F75B22"/>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185409083">
      <w:bodyDiv w:val="1"/>
      <w:marLeft w:val="0"/>
      <w:marRight w:val="0"/>
      <w:marTop w:val="0"/>
      <w:marBottom w:val="0"/>
      <w:divBdr>
        <w:top w:val="none" w:sz="0" w:space="0" w:color="auto"/>
        <w:left w:val="none" w:sz="0" w:space="0" w:color="auto"/>
        <w:bottom w:val="none" w:sz="0" w:space="0" w:color="auto"/>
        <w:right w:val="none" w:sz="0" w:space="0" w:color="auto"/>
      </w:divBdr>
      <w:divsChild>
        <w:div w:id="1941597170">
          <w:marLeft w:val="0"/>
          <w:marRight w:val="0"/>
          <w:marTop w:val="0"/>
          <w:marBottom w:val="0"/>
          <w:divBdr>
            <w:top w:val="single" w:sz="6" w:space="0" w:color="009966"/>
            <w:left w:val="none" w:sz="0" w:space="0" w:color="auto"/>
            <w:bottom w:val="single" w:sz="6" w:space="0" w:color="009966"/>
            <w:right w:val="none" w:sz="0" w:space="0" w:color="auto"/>
          </w:divBdr>
        </w:div>
        <w:div w:id="944386206">
          <w:marLeft w:val="0"/>
          <w:marRight w:val="0"/>
          <w:marTop w:val="0"/>
          <w:marBottom w:val="0"/>
          <w:divBdr>
            <w:top w:val="single" w:sz="6" w:space="0" w:color="009966"/>
            <w:left w:val="none" w:sz="0" w:space="0" w:color="auto"/>
            <w:bottom w:val="single" w:sz="6" w:space="0" w:color="009966"/>
            <w:right w:val="none" w:sz="0" w:space="0" w:color="auto"/>
          </w:divBdr>
        </w:div>
        <w:div w:id="1094399400">
          <w:marLeft w:val="0"/>
          <w:marRight w:val="0"/>
          <w:marTop w:val="0"/>
          <w:marBottom w:val="0"/>
          <w:divBdr>
            <w:top w:val="single" w:sz="6" w:space="0" w:color="009966"/>
            <w:left w:val="none" w:sz="0" w:space="0" w:color="auto"/>
            <w:bottom w:val="single" w:sz="6" w:space="0" w:color="009966"/>
            <w:right w:val="none" w:sz="0" w:space="0" w:color="auto"/>
          </w:divBdr>
        </w:div>
        <w:div w:id="373116858">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083915136">
      <w:bodyDiv w:val="1"/>
      <w:marLeft w:val="0"/>
      <w:marRight w:val="0"/>
      <w:marTop w:val="0"/>
      <w:marBottom w:val="0"/>
      <w:divBdr>
        <w:top w:val="none" w:sz="0" w:space="0" w:color="auto"/>
        <w:left w:val="none" w:sz="0" w:space="0" w:color="auto"/>
        <w:bottom w:val="none" w:sz="0" w:space="0" w:color="auto"/>
        <w:right w:val="none" w:sz="0" w:space="0" w:color="auto"/>
      </w:divBdr>
    </w:div>
    <w:div w:id="1165828001">
      <w:bodyDiv w:val="1"/>
      <w:marLeft w:val="0"/>
      <w:marRight w:val="0"/>
      <w:marTop w:val="0"/>
      <w:marBottom w:val="0"/>
      <w:divBdr>
        <w:top w:val="none" w:sz="0" w:space="0" w:color="auto"/>
        <w:left w:val="none" w:sz="0" w:space="0" w:color="auto"/>
        <w:bottom w:val="none" w:sz="0" w:space="0" w:color="auto"/>
        <w:right w:val="none" w:sz="0" w:space="0" w:color="auto"/>
      </w:divBdr>
      <w:divsChild>
        <w:div w:id="210776977">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389905">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vpn\Non%20Folder\Stacy\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'[pie chart.xlsx]Assets'!$B$3</c:f>
              <c:strCache>
                <c:ptCount val="1"/>
                <c:pt idx="0">
                  <c:v> Amount </c:v>
                </c:pt>
              </c:strCache>
            </c:strRef>
          </c:tx>
          <c:spPr>
            <a:scene3d>
              <a:camera prst="orthographicFront"/>
              <a:lightRig rig="threePt" dir="t"/>
            </a:scene3d>
            <a:sp3d>
              <a:bevelT w="127000" h="127000"/>
              <a:bevelB w="127000" h="127000"/>
            </a:sp3d>
          </c:spPr>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70CD-415A-8A05-23F2F7E6CBE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0CD-415A-8A05-23F2F7E6CBE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70CD-415A-8A05-23F2F7E6CBE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70CD-415A-8A05-23F2F7E6CBE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70CD-415A-8A05-23F2F7E6CBE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70CD-415A-8A05-23F2F7E6CBEB}"/>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delete val="1"/>
              <c:extLst xmlns:c16r2="http://schemas.microsoft.com/office/drawing/2015/06/chart">
                <c:ext xmlns:c16="http://schemas.microsoft.com/office/drawing/2014/chart" uri="{C3380CC4-5D6E-409C-BE32-E72D297353CC}">
                  <c16:uniqueId val="{00000003-70CD-415A-8A05-23F2F7E6CBEB}"/>
                </c:ext>
                <c:ext xmlns:c15="http://schemas.microsoft.com/office/drawing/2012/chart" uri="{CE6537A1-D6FC-4f65-9D91-7224C49458BB}">
                  <c15:layout/>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'[pie chart.xlsx]Assets'!$A$4:$A$9</c:f>
              <c:strCache>
                <c:ptCount val="3"/>
                <c:pt idx="0">
                  <c:v>Scottish Widows Deposit Account</c:v>
                </c:pt>
                <c:pt idx="1">
                  <c:v>Cash at Bank</c:v>
                </c:pt>
                <c:pt idx="2">
                  <c:v>Share Portfolio</c:v>
                </c:pt>
              </c:strCache>
            </c:strRef>
          </c:cat>
          <c:val>
            <c:numRef>
              <c:f>'[pie chart.xlsx]Assets'!$B$4:$B$9</c:f>
              <c:numCache>
                <c:formatCode>General</c:formatCode>
                <c:ptCount val="6"/>
                <c:pt idx="0">
                  <c:v>35533</c:v>
                </c:pt>
                <c:pt idx="1">
                  <c:v>100</c:v>
                </c:pt>
                <c:pt idx="2">
                  <c:v>163031.38</c:v>
                </c:pt>
              </c:numCache>
            </c:numRef>
          </c:val>
          <c:extLst xmlns:c16r2="http://schemas.microsoft.com/office/drawing/2015/06/chart">
            <c:ext xmlns:c16="http://schemas.microsoft.com/office/drawing/2014/chart" uri="{C3380CC4-5D6E-409C-BE32-E72D297353CC}">
              <c16:uniqueId val="{0000000C-70CD-415A-8A05-23F2F7E6CBE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Emily</cp:lastModifiedBy>
  <cp:revision>2</cp:revision>
  <dcterms:created xsi:type="dcterms:W3CDTF">2018-03-26T12:56:00Z</dcterms:created>
  <dcterms:modified xsi:type="dcterms:W3CDTF">2018-03-26T12:56:00Z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