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09A62F" w14:textId="77DEB534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0BE1F944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1B1782">
        <w:rPr>
          <w:rFonts w:ascii="Arial" w:hAnsi="Arial" w:cs="Arial"/>
          <w:b/>
          <w:sz w:val="23"/>
          <w:szCs w:val="23"/>
        </w:rPr>
        <w:t xml:space="preserve"> </w:t>
      </w:r>
      <w:r w:rsidR="000E7CB8">
        <w:rPr>
          <w:rFonts w:ascii="Arial" w:hAnsi="Arial" w:cs="Arial"/>
          <w:b/>
          <w:sz w:val="23"/>
          <w:szCs w:val="23"/>
        </w:rPr>
        <w:t>Peter Pickering Pension Scheme</w:t>
      </w:r>
      <w:r w:rsidR="009E7369">
        <w:rPr>
          <w:rFonts w:ascii="Arial" w:hAnsi="Arial" w:cs="Arial"/>
          <w:b/>
          <w:sz w:val="23"/>
          <w:szCs w:val="23"/>
        </w:rPr>
        <w:t xml:space="preserve"> 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575B5222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0E7CB8">
        <w:rPr>
          <w:rFonts w:ascii="Arial" w:hAnsi="Arial" w:cs="Arial"/>
          <w:color w:val="auto"/>
          <w:sz w:val="23"/>
          <w:szCs w:val="23"/>
        </w:rPr>
        <w:t>13</w:t>
      </w:r>
      <w:r w:rsidR="000E7CB8" w:rsidRPr="000E7CB8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0E7CB8">
        <w:rPr>
          <w:rFonts w:ascii="Arial" w:hAnsi="Arial" w:cs="Arial"/>
          <w:color w:val="auto"/>
          <w:sz w:val="23"/>
          <w:szCs w:val="23"/>
        </w:rPr>
        <w:t xml:space="preserve"> February 2013</w:t>
      </w:r>
      <w:r w:rsidR="006E1261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>
        <w:rPr>
          <w:rFonts w:ascii="Arial" w:hAnsi="Arial" w:cs="Arial"/>
          <w:color w:val="auto"/>
          <w:sz w:val="23"/>
          <w:szCs w:val="23"/>
        </w:rPr>
        <w:t>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002F81F7" w:rsidR="002A4544" w:rsidRDefault="000E7CB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PMP Marketing Limited</w:t>
      </w:r>
      <w:r w:rsidR="006E1261">
        <w:rPr>
          <w:rFonts w:ascii="Arial" w:hAnsi="Arial" w:cs="Arial"/>
          <w:color w:val="auto"/>
          <w:sz w:val="23"/>
          <w:szCs w:val="23"/>
        </w:rPr>
        <w:t xml:space="preserve"> </w:t>
      </w:r>
      <w:r w:rsidR="002B0860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”) </w:t>
      </w:r>
      <w:r w:rsidR="006E1261">
        <w:rPr>
          <w:rFonts w:ascii="Arial" w:hAnsi="Arial" w:cs="Arial"/>
          <w:color w:val="auto"/>
          <w:sz w:val="23"/>
          <w:szCs w:val="23"/>
        </w:rPr>
        <w:t>was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  <w:r w:rsidR="006E1261">
        <w:rPr>
          <w:rFonts w:ascii="Arial" w:hAnsi="Arial" w:cs="Arial"/>
          <w:color w:val="auto"/>
          <w:sz w:val="23"/>
          <w:szCs w:val="23"/>
        </w:rPr>
        <w:t>was</w:t>
      </w:r>
      <w:r w:rsidR="000A3EAD">
        <w:rPr>
          <w:rFonts w:ascii="Arial" w:hAnsi="Arial" w:cs="Arial"/>
          <w:color w:val="auto"/>
          <w:sz w:val="23"/>
          <w:szCs w:val="23"/>
        </w:rPr>
        <w:t>, furthermore,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</w:t>
      </w:r>
      <w:r w:rsidR="001273FA" w:rsidRPr="006E1261">
        <w:rPr>
          <w:rFonts w:ascii="Arial" w:hAnsi="Arial" w:cs="Arial"/>
          <w:color w:val="auto"/>
          <w:sz w:val="23"/>
          <w:szCs w:val="23"/>
        </w:rPr>
        <w:t>a body corporate that fell within the definition of a dormant company prior to its liquidation</w:t>
      </w:r>
      <w:r w:rsidR="002A4544" w:rsidRPr="006E1261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43615468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Employer </w:t>
      </w:r>
      <w:r w:rsidR="001273FA" w:rsidRPr="006E1261">
        <w:rPr>
          <w:rFonts w:ascii="Arial" w:hAnsi="Arial" w:cs="Arial"/>
          <w:color w:val="auto"/>
          <w:sz w:val="23"/>
          <w:szCs w:val="23"/>
        </w:rPr>
        <w:t>fell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AA06F2">
        <w:rPr>
          <w:rFonts w:ascii="Arial" w:hAnsi="Arial" w:cs="Arial"/>
          <w:color w:val="auto"/>
          <w:sz w:val="23"/>
          <w:szCs w:val="23"/>
        </w:rPr>
        <w:t>1</w:t>
      </w:r>
      <w:r w:rsidR="00AA06F2" w:rsidRPr="00AA06F2">
        <w:rPr>
          <w:rFonts w:ascii="Arial" w:hAnsi="Arial" w:cs="Arial"/>
          <w:color w:val="auto"/>
          <w:sz w:val="23"/>
          <w:szCs w:val="23"/>
        </w:rPr>
        <w:t>1</w:t>
      </w:r>
      <w:r w:rsidR="002B0860" w:rsidRPr="00AA06F2">
        <w:rPr>
          <w:rFonts w:ascii="Arial" w:hAnsi="Arial" w:cs="Arial"/>
          <w:color w:val="auto"/>
          <w:sz w:val="23"/>
          <w:szCs w:val="23"/>
        </w:rPr>
        <w:t>.4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Trustees remove the Employer from any association with the Scheme</w:t>
      </w:r>
      <w:r w:rsidR="000E7CB8">
        <w:rPr>
          <w:rFonts w:ascii="Arial" w:hAnsi="Arial" w:cs="Arial"/>
          <w:color w:val="auto"/>
          <w:sz w:val="23"/>
          <w:szCs w:val="23"/>
        </w:rPr>
        <w:t xml:space="preserve"> with effect from 03</w:t>
      </w:r>
      <w:r w:rsidR="000E7CB8" w:rsidRPr="000E7CB8">
        <w:rPr>
          <w:rFonts w:ascii="Arial" w:hAnsi="Arial" w:cs="Arial"/>
          <w:color w:val="auto"/>
          <w:sz w:val="23"/>
          <w:szCs w:val="23"/>
          <w:vertAlign w:val="superscript"/>
        </w:rPr>
        <w:t>rd</w:t>
      </w:r>
      <w:r w:rsidR="000E7CB8">
        <w:rPr>
          <w:rFonts w:ascii="Arial" w:hAnsi="Arial" w:cs="Arial"/>
          <w:color w:val="auto"/>
          <w:sz w:val="23"/>
          <w:szCs w:val="23"/>
        </w:rPr>
        <w:t xml:space="preserve"> March 2014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11.4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6745116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FED6C7C" w14:textId="77777777" w:rsidR="0014450B" w:rsidRDefault="0014450B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36B3F97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1C6CE3E8" w:rsidR="003B4927" w:rsidRDefault="000E7CB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Peter Michael Pickering</w:t>
      </w:r>
      <w:bookmarkStart w:id="0" w:name="_GoBack"/>
      <w:bookmarkEnd w:id="0"/>
    </w:p>
    <w:p w14:paraId="7DFEF153" w14:textId="77777777" w:rsidR="00FC6F21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</w:p>
    <w:p w14:paraId="31DD9AE8" w14:textId="006B815B" w:rsidR="00FC6F21" w:rsidRDefault="00FC6F21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FC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16879"/>
    <w:rsid w:val="000A3EAD"/>
    <w:rsid w:val="000E7CB8"/>
    <w:rsid w:val="001273FA"/>
    <w:rsid w:val="0014450B"/>
    <w:rsid w:val="001924AC"/>
    <w:rsid w:val="001B1782"/>
    <w:rsid w:val="002610EA"/>
    <w:rsid w:val="002768F5"/>
    <w:rsid w:val="00297D33"/>
    <w:rsid w:val="002A4544"/>
    <w:rsid w:val="002B0860"/>
    <w:rsid w:val="002D09F3"/>
    <w:rsid w:val="00332E24"/>
    <w:rsid w:val="003B4927"/>
    <w:rsid w:val="00407E29"/>
    <w:rsid w:val="00547C2A"/>
    <w:rsid w:val="005C0E02"/>
    <w:rsid w:val="005D1FD4"/>
    <w:rsid w:val="005D53F7"/>
    <w:rsid w:val="006959A5"/>
    <w:rsid w:val="006E1261"/>
    <w:rsid w:val="006E4A98"/>
    <w:rsid w:val="00746ABA"/>
    <w:rsid w:val="007555E2"/>
    <w:rsid w:val="00776B8F"/>
    <w:rsid w:val="007C34CD"/>
    <w:rsid w:val="00853D5A"/>
    <w:rsid w:val="00887B53"/>
    <w:rsid w:val="008B5FE7"/>
    <w:rsid w:val="009E7369"/>
    <w:rsid w:val="009F3B7D"/>
    <w:rsid w:val="00AA06F2"/>
    <w:rsid w:val="00AD0B3C"/>
    <w:rsid w:val="00B140B5"/>
    <w:rsid w:val="00B356D9"/>
    <w:rsid w:val="00B958B3"/>
    <w:rsid w:val="00BA06EC"/>
    <w:rsid w:val="00BA327B"/>
    <w:rsid w:val="00C1298E"/>
    <w:rsid w:val="00C56A54"/>
    <w:rsid w:val="00C63C24"/>
    <w:rsid w:val="00CA4DF4"/>
    <w:rsid w:val="00D20E88"/>
    <w:rsid w:val="00D36D74"/>
    <w:rsid w:val="00EF0099"/>
    <w:rsid w:val="00F42EAA"/>
    <w:rsid w:val="00FB37E0"/>
    <w:rsid w:val="00FC3202"/>
    <w:rsid w:val="00FC6F21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1433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2</cp:revision>
  <dcterms:created xsi:type="dcterms:W3CDTF">2018-08-21T09:10:00Z</dcterms:created>
  <dcterms:modified xsi:type="dcterms:W3CDTF">2018-08-21T09:10:00Z</dcterms:modified>
</cp:coreProperties>
</file>