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Trustee Resolution</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Scheme Name:</w:t>
      </w:r>
      <w:r w:rsidDel="00000000" w:rsidR="00000000" w:rsidRPr="00000000">
        <w:rPr>
          <w:b w:val="1"/>
          <w:i w:val="0"/>
          <w:smallCaps w:val="0"/>
          <w:strike w:val="0"/>
          <w:color w:val="980000"/>
          <w:u w:val="none"/>
          <w:shd w:fill="auto" w:val="clear"/>
          <w:vertAlign w:val="baseline"/>
          <w:rtl w:val="0"/>
        </w:rPr>
        <w:t xml:space="preserve"> </w:t>
      </w:r>
      <w:r w:rsidDel="00000000" w:rsidR="00000000" w:rsidRPr="00000000">
        <w:rPr>
          <w:color w:val="222222"/>
          <w:highlight w:val="white"/>
          <w:rtl w:val="0"/>
        </w:rPr>
        <w:t xml:space="preserve">Pinnacle</w:t>
      </w:r>
      <w:r w:rsidDel="00000000" w:rsidR="00000000" w:rsidRPr="00000000">
        <w:rPr>
          <w:color w:val="222222"/>
          <w:highlight w:val="white"/>
          <w:rtl w:val="0"/>
        </w:rPr>
        <w:t xml:space="preserve"> Pension Scheme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Date: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Trustees wish to appoint bankers to the </w:t>
      </w:r>
      <w:r w:rsidDel="00000000" w:rsidR="00000000" w:rsidRPr="00000000">
        <w:rPr>
          <w:color w:val="222222"/>
          <w:highlight w:val="white"/>
          <w:rtl w:val="0"/>
        </w:rPr>
        <w:t xml:space="preserve">Pinnacle Pension Scheme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following their appointment as Trustees.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Resolution</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Trustees appoint AIB Group (UK) plc, a bank registered in the UK and regulated by the Financial Conduct Authority and the Prudential Regulation Authority to provide banking services to the Scheme.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Trustees delegate the opening and management of the account to Registered Scheme Administrator Limited, whose registered address is at Suite 4, 1st Floor, 48 Chorley New Road, Bolton, United Kingdom, BL1 4AP.</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Trustees have read and agreed to the terms of business of AIB Group (UK) plc. </w:t>
        <w:br w:type="textWrapping"/>
      </w:r>
    </w:p>
    <w:p w:rsidR="00000000" w:rsidDel="00000000" w:rsidP="00000000" w:rsidRDefault="00000000" w:rsidRPr="00000000" w14:paraId="0000000C">
      <w:pPr>
        <w:numPr>
          <w:ilvl w:val="0"/>
          <w:numId w:val="1"/>
        </w:numPr>
        <w:spacing w:after="280" w:before="280" w:line="240" w:lineRule="auto"/>
        <w:ind w:left="720" w:hanging="360"/>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Trustees authorise that the current signatories to any transaction payments from AIB shall be: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Any one of the following signatories plus an authorised signatory of Registered Scheme Administrator Ltd.</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br w:type="textWrapping"/>
        <w:br w:type="textWrapping"/>
        <w:br w:type="textWrapping"/>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