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297D33" w:rsidP="00BD66BF">
      <w:pPr>
        <w:rPr>
          <w:rFonts w:ascii="Arial" w:hAnsi="Arial" w:cs="Arial"/>
          <w:b/>
          <w:sz w:val="23"/>
          <w:szCs w:val="23"/>
        </w:rPr>
      </w:pPr>
      <w:r w:rsidRPr="00E5606C">
        <w:rPr>
          <w:rFonts w:ascii="Arial" w:hAnsi="Arial" w:cs="Arial"/>
          <w:b/>
          <w:sz w:val="24"/>
          <w:szCs w:val="24"/>
        </w:rPr>
        <w:t>TRUSTEE</w:t>
      </w:r>
      <w:r w:rsidR="00B958B3" w:rsidRPr="00E5606C">
        <w:rPr>
          <w:rFonts w:ascii="Arial" w:hAnsi="Arial" w:cs="Arial"/>
          <w:b/>
          <w:sz w:val="24"/>
          <w:szCs w:val="24"/>
        </w:rPr>
        <w:t xml:space="preserve"> RESOLUTION</w:t>
      </w:r>
      <w:r w:rsidR="002D09F3" w:rsidRPr="00E5606C">
        <w:rPr>
          <w:rFonts w:ascii="Arial" w:hAnsi="Arial" w:cs="Arial"/>
          <w:b/>
          <w:sz w:val="24"/>
          <w:szCs w:val="24"/>
        </w:rPr>
        <w:t xml:space="preserve"> for</w:t>
      </w:r>
      <w:r w:rsidR="002D09F3">
        <w:rPr>
          <w:rFonts w:ascii="Arial" w:hAnsi="Arial" w:cs="Arial"/>
          <w:b/>
          <w:sz w:val="23"/>
          <w:szCs w:val="23"/>
        </w:rPr>
        <w:t xml:space="preserve"> the </w:t>
      </w:r>
      <w:r w:rsidR="008A2044">
        <w:rPr>
          <w:rFonts w:ascii="Arial" w:hAnsi="Arial" w:cs="Arial"/>
          <w:b/>
          <w:sz w:val="23"/>
          <w:szCs w:val="23"/>
        </w:rPr>
        <w:t>Priory Gate</w:t>
      </w:r>
      <w:r w:rsidR="001A7A11">
        <w:rPr>
          <w:rFonts w:ascii="Arial" w:hAnsi="Arial" w:cs="Arial"/>
          <w:b/>
          <w:sz w:val="23"/>
          <w:szCs w:val="23"/>
        </w:rPr>
        <w:t xml:space="preserve"> SSAS</w:t>
      </w:r>
    </w:p>
    <w:p w:rsidR="00B240BF" w:rsidRDefault="00B240BF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784B88" w:rsidRP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784B88">
        <w:rPr>
          <w:rFonts w:ascii="Arial" w:hAnsi="Arial" w:cs="Arial"/>
          <w:b/>
          <w:sz w:val="22"/>
          <w:szCs w:val="22"/>
        </w:rPr>
        <w:t>Interpretation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Trustees confirm that the terms used in this resolution should be interpreted as they are defined in the Definitive </w:t>
      </w:r>
      <w:r w:rsidR="00572A89">
        <w:rPr>
          <w:rFonts w:ascii="Arial" w:hAnsi="Arial" w:cs="Arial"/>
          <w:sz w:val="22"/>
          <w:szCs w:val="22"/>
        </w:rPr>
        <w:t>Trust Deed and Rules dated 18</w:t>
      </w:r>
      <w:r w:rsidR="00572A89" w:rsidRPr="00572A89">
        <w:rPr>
          <w:rFonts w:ascii="Arial" w:hAnsi="Arial" w:cs="Arial"/>
          <w:sz w:val="22"/>
          <w:szCs w:val="22"/>
          <w:vertAlign w:val="superscript"/>
        </w:rPr>
        <w:t>th</w:t>
      </w:r>
      <w:r w:rsidR="00572A89">
        <w:rPr>
          <w:rFonts w:ascii="Arial" w:hAnsi="Arial" w:cs="Arial"/>
          <w:sz w:val="22"/>
          <w:szCs w:val="22"/>
        </w:rPr>
        <w:t xml:space="preserve"> November 2011 </w:t>
      </w:r>
      <w:r>
        <w:rPr>
          <w:rFonts w:ascii="Arial" w:hAnsi="Arial" w:cs="Arial"/>
          <w:sz w:val="22"/>
          <w:szCs w:val="22"/>
        </w:rPr>
        <w:t>and all subsequent amendments for the Priory Gate SSAS (the “</w:t>
      </w:r>
      <w:r w:rsidRPr="00784B88">
        <w:rPr>
          <w:rFonts w:ascii="Arial" w:hAnsi="Arial" w:cs="Arial"/>
          <w:b/>
          <w:sz w:val="22"/>
          <w:szCs w:val="22"/>
        </w:rPr>
        <w:t>Scheme</w:t>
      </w:r>
      <w:r>
        <w:rPr>
          <w:rFonts w:ascii="Arial" w:hAnsi="Arial" w:cs="Arial"/>
          <w:sz w:val="22"/>
          <w:szCs w:val="22"/>
        </w:rPr>
        <w:t>”)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84B88" w:rsidRP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784B88">
        <w:rPr>
          <w:rFonts w:ascii="Arial" w:hAnsi="Arial" w:cs="Arial"/>
          <w:b/>
          <w:sz w:val="22"/>
          <w:szCs w:val="22"/>
        </w:rPr>
        <w:t>Background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2B400C" w:rsidRDefault="001A7A11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Trustees of </w:t>
      </w:r>
      <w:r w:rsidR="008A2044">
        <w:rPr>
          <w:rFonts w:ascii="Arial" w:hAnsi="Arial" w:cs="Arial"/>
          <w:sz w:val="22"/>
          <w:szCs w:val="22"/>
        </w:rPr>
        <w:t>Priory Gate</w:t>
      </w:r>
      <w:r>
        <w:rPr>
          <w:rFonts w:ascii="Arial" w:hAnsi="Arial" w:cs="Arial"/>
          <w:sz w:val="22"/>
          <w:szCs w:val="22"/>
        </w:rPr>
        <w:t xml:space="preserve"> SSAS, namely, </w:t>
      </w:r>
      <w:r w:rsidR="008A2044">
        <w:rPr>
          <w:rFonts w:ascii="Arial" w:hAnsi="Arial" w:cs="Arial"/>
          <w:sz w:val="22"/>
          <w:szCs w:val="22"/>
        </w:rPr>
        <w:t>David Thomas Curran and Anne-Marie Bernadette Curran</w:t>
      </w:r>
      <w:r>
        <w:rPr>
          <w:rFonts w:ascii="Arial" w:hAnsi="Arial" w:cs="Arial"/>
          <w:sz w:val="22"/>
          <w:szCs w:val="22"/>
        </w:rPr>
        <w:t xml:space="preserve">, </w:t>
      </w:r>
      <w:r w:rsidR="008A2044">
        <w:rPr>
          <w:rFonts w:ascii="Arial" w:hAnsi="Arial" w:cs="Arial"/>
          <w:sz w:val="22"/>
          <w:szCs w:val="22"/>
        </w:rPr>
        <w:t>both of 3 The Pastures, Garrett Close, Dunstable LU6 3EG</w:t>
      </w:r>
      <w:r w:rsidR="00784B88">
        <w:rPr>
          <w:rFonts w:ascii="Arial" w:hAnsi="Arial" w:cs="Arial"/>
          <w:sz w:val="22"/>
          <w:szCs w:val="22"/>
        </w:rPr>
        <w:t xml:space="preserve"> confirm that the Property at Carlton House, 42-44 West Street, Dunstable, LU6 1TA is an asset of the Priory Gate SSAS (the “</w:t>
      </w:r>
      <w:r w:rsidR="00784B88" w:rsidRPr="00784B88">
        <w:rPr>
          <w:rFonts w:ascii="Arial" w:hAnsi="Arial" w:cs="Arial"/>
          <w:b/>
          <w:sz w:val="22"/>
          <w:szCs w:val="22"/>
        </w:rPr>
        <w:t>Scheme</w:t>
      </w:r>
      <w:r w:rsidR="00784B88">
        <w:rPr>
          <w:rFonts w:ascii="Arial" w:hAnsi="Arial" w:cs="Arial"/>
          <w:sz w:val="22"/>
          <w:szCs w:val="22"/>
        </w:rPr>
        <w:t>”)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84B88" w:rsidRDefault="002366C5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Currently, 2 of the 3 floors are vacant and awaiting new tenants. The Trustees confirm therefore that part</w:t>
      </w:r>
      <w:r w:rsidR="00784B88">
        <w:rPr>
          <w:rFonts w:ascii="Arial" w:hAnsi="Arial" w:cs="Arial"/>
          <w:sz w:val="22"/>
          <w:szCs w:val="22"/>
        </w:rPr>
        <w:t xml:space="preserve"> of the property is currently unoccupied. The Trustees of the Scheme as the acting “Landlord” are responsible for the utility bills relating to the unoccupied space.</w:t>
      </w:r>
    </w:p>
    <w:p w:rsidR="002366C5" w:rsidRDefault="002366C5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2366C5" w:rsidRDefault="002366C5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utilities have been settled from the pension scheme account held with AIB: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“Wave” – Anglian Water Business (National) Ltd</w:t>
      </w:r>
    </w:p>
    <w:p w:rsidR="00784B88" w:rsidRDefault="00784B88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Utilita</w:t>
      </w:r>
      <w:proofErr w:type="spellEnd"/>
      <w:r>
        <w:rPr>
          <w:rFonts w:ascii="Arial" w:hAnsi="Arial" w:cs="Arial"/>
          <w:sz w:val="22"/>
          <w:szCs w:val="22"/>
        </w:rPr>
        <w:t xml:space="preserve"> Energy Limited</w:t>
      </w:r>
      <w:r w:rsidR="006310F2">
        <w:rPr>
          <w:rFonts w:ascii="Arial" w:hAnsi="Arial" w:cs="Arial"/>
          <w:sz w:val="22"/>
          <w:szCs w:val="22"/>
        </w:rPr>
        <w:t xml:space="preserve"> – Gas &amp; Electric</w:t>
      </w:r>
    </w:p>
    <w:p w:rsidR="006310F2" w:rsidRDefault="006310F2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Scottish Power</w:t>
      </w:r>
    </w:p>
    <w:p w:rsidR="00572A89" w:rsidRDefault="00572A89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Jelf</w:t>
      </w:r>
      <w:proofErr w:type="spellEnd"/>
      <w:r>
        <w:rPr>
          <w:rFonts w:ascii="Arial" w:hAnsi="Arial" w:cs="Arial"/>
          <w:sz w:val="22"/>
          <w:szCs w:val="22"/>
        </w:rPr>
        <w:t xml:space="preserve"> Group </w:t>
      </w:r>
      <w:proofErr w:type="spellStart"/>
      <w:r>
        <w:rPr>
          <w:rFonts w:ascii="Arial" w:hAnsi="Arial" w:cs="Arial"/>
          <w:sz w:val="22"/>
          <w:szCs w:val="22"/>
        </w:rPr>
        <w:t>Plc</w:t>
      </w:r>
      <w:proofErr w:type="spellEnd"/>
      <w:r>
        <w:rPr>
          <w:rFonts w:ascii="Arial" w:hAnsi="Arial" w:cs="Arial"/>
          <w:sz w:val="22"/>
          <w:szCs w:val="22"/>
        </w:rPr>
        <w:t xml:space="preserve"> – Aviva Property Insurance</w:t>
      </w:r>
    </w:p>
    <w:p w:rsidR="00572A89" w:rsidRDefault="00572A89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Chubb Fire &amp; Security Ltd</w:t>
      </w:r>
    </w:p>
    <w:p w:rsidR="00107C74" w:rsidRDefault="00107C74" w:rsidP="008A2044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Virgin Media </w:t>
      </w:r>
    </w:p>
    <w:p w:rsidR="001A7A11" w:rsidRDefault="001A7A11" w:rsidP="00E5606C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1A7A11" w:rsidRDefault="00784B88" w:rsidP="00E5606C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b/>
          <w:color w:val="222222"/>
          <w:sz w:val="22"/>
          <w:szCs w:val="22"/>
          <w:lang w:val="en-US"/>
        </w:rPr>
      </w:pPr>
      <w:r>
        <w:rPr>
          <w:rFonts w:ascii="Arial" w:hAnsi="Arial" w:cs="Arial"/>
          <w:b/>
          <w:color w:val="222222"/>
          <w:sz w:val="22"/>
          <w:szCs w:val="22"/>
          <w:lang w:val="en-US"/>
        </w:rPr>
        <w:t>Resolution</w:t>
      </w:r>
    </w:p>
    <w:p w:rsidR="00784B88" w:rsidRDefault="00784B88" w:rsidP="00E5606C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b/>
          <w:color w:val="222222"/>
          <w:sz w:val="22"/>
          <w:szCs w:val="22"/>
          <w:lang w:val="en-US"/>
        </w:rPr>
      </w:pPr>
    </w:p>
    <w:p w:rsidR="00784B88" w:rsidRPr="00784B88" w:rsidRDefault="00784B88" w:rsidP="00E5606C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The Trustees hereby resolve to settle the utility b</w:t>
      </w:r>
      <w:r w:rsidR="002366C5">
        <w:rPr>
          <w:rFonts w:ascii="Arial" w:hAnsi="Arial" w:cs="Arial"/>
          <w:color w:val="222222"/>
          <w:sz w:val="22"/>
          <w:szCs w:val="22"/>
          <w:lang w:val="en-US"/>
        </w:rPr>
        <w:t>ills in relation to the unoccupied space of the property and agree where applicable to set up a DDM for any utility fees for the foreseeable future. The Trustees agree that once a new tenant/s are found, the lease/s will state who is responsible for the utility bills of that space going forward.</w:t>
      </w:r>
    </w:p>
    <w:p w:rsidR="004228C1" w:rsidRPr="00E5606C" w:rsidRDefault="004228C1" w:rsidP="00E5606C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B958B3" w:rsidRDefault="00784B88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by the Trustees of the Priory Gate SSAS</w:t>
      </w:r>
      <w:r w:rsidR="00107C74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784B88" w:rsidRPr="00E5606C" w:rsidRDefault="00784B88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B958B3" w:rsidRPr="00D0498C" w:rsidRDefault="008A2044" w:rsidP="00B958B3">
      <w:pPr>
        <w:widowControl/>
        <w:overflowPunct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David Thomas Curran</w:t>
      </w:r>
    </w:p>
    <w:p w:rsidR="00B958B3" w:rsidRPr="00E5606C" w:rsidRDefault="00B958B3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784B88" w:rsidRDefault="00784B88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2366C5" w:rsidRPr="00E5606C" w:rsidRDefault="002366C5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7C4CEA" w:rsidRPr="00E5606C" w:rsidRDefault="00DE0007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D26E41" w:rsidRPr="00E5606C">
        <w:rPr>
          <w:rFonts w:ascii="Arial" w:hAnsi="Arial" w:cs="Arial"/>
          <w:sz w:val="22"/>
          <w:szCs w:val="22"/>
        </w:rPr>
        <w:tab/>
      </w:r>
      <w:r w:rsidR="00D26E41" w:rsidRPr="00E5606C">
        <w:rPr>
          <w:rFonts w:ascii="Arial" w:hAnsi="Arial" w:cs="Arial"/>
          <w:sz w:val="22"/>
          <w:szCs w:val="22"/>
        </w:rPr>
        <w:tab/>
      </w:r>
      <w:r w:rsidR="00D26E41" w:rsidRPr="00E5606C">
        <w:rPr>
          <w:rFonts w:ascii="Arial" w:hAnsi="Arial" w:cs="Arial"/>
          <w:sz w:val="22"/>
          <w:szCs w:val="22"/>
        </w:rPr>
        <w:tab/>
      </w:r>
      <w:r w:rsidR="00D26E41" w:rsidRPr="00E5606C">
        <w:rPr>
          <w:rFonts w:ascii="Arial" w:hAnsi="Arial" w:cs="Arial"/>
          <w:sz w:val="22"/>
          <w:szCs w:val="22"/>
        </w:rPr>
        <w:tab/>
      </w:r>
      <w:r w:rsidR="00B958B3" w:rsidRPr="00E5606C">
        <w:rPr>
          <w:rFonts w:ascii="Arial" w:hAnsi="Arial" w:cs="Arial"/>
          <w:sz w:val="22"/>
          <w:szCs w:val="22"/>
        </w:rPr>
        <w:tab/>
      </w:r>
      <w:r w:rsidR="00B958B3" w:rsidRPr="00E5606C">
        <w:rPr>
          <w:rFonts w:ascii="Arial" w:hAnsi="Arial" w:cs="Arial"/>
          <w:sz w:val="22"/>
          <w:szCs w:val="22"/>
        </w:rPr>
        <w:tab/>
      </w:r>
    </w:p>
    <w:p w:rsidR="00B958B3" w:rsidRPr="00E5606C" w:rsidRDefault="002D09F3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  <w:r w:rsidRPr="00E5606C">
        <w:rPr>
          <w:rFonts w:ascii="Arial" w:hAnsi="Arial" w:cs="Arial"/>
          <w:sz w:val="22"/>
          <w:szCs w:val="22"/>
        </w:rPr>
        <w:t>TRUSTEE</w:t>
      </w:r>
    </w:p>
    <w:p w:rsidR="00DE0007" w:rsidRDefault="00DE0007" w:rsidP="00B958B3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8A2044" w:rsidRPr="00D0498C" w:rsidRDefault="008A2044" w:rsidP="008A2044">
      <w:pPr>
        <w:widowControl/>
        <w:overflowPunct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Anne-Marie Bernadette Curran</w:t>
      </w:r>
    </w:p>
    <w:p w:rsidR="008A2044" w:rsidRPr="00E5606C" w:rsidRDefault="008A2044" w:rsidP="008A2044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8A2044" w:rsidRDefault="008A2044" w:rsidP="008A2044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2366C5" w:rsidRPr="00E5606C" w:rsidRDefault="002366C5" w:rsidP="008A2044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</w:p>
    <w:p w:rsidR="008A2044" w:rsidRPr="00E5606C" w:rsidRDefault="008A2044" w:rsidP="008A2044">
      <w:pPr>
        <w:widowControl/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Pr="00E5606C">
        <w:rPr>
          <w:rFonts w:ascii="Arial" w:hAnsi="Arial" w:cs="Arial"/>
          <w:sz w:val="22"/>
          <w:szCs w:val="22"/>
        </w:rPr>
        <w:tab/>
      </w:r>
      <w:r w:rsidRPr="00E5606C">
        <w:rPr>
          <w:rFonts w:ascii="Arial" w:hAnsi="Arial" w:cs="Arial"/>
          <w:sz w:val="22"/>
          <w:szCs w:val="22"/>
        </w:rPr>
        <w:tab/>
      </w:r>
      <w:r w:rsidRPr="00E5606C">
        <w:rPr>
          <w:rFonts w:ascii="Arial" w:hAnsi="Arial" w:cs="Arial"/>
          <w:sz w:val="22"/>
          <w:szCs w:val="22"/>
        </w:rPr>
        <w:tab/>
      </w:r>
      <w:r w:rsidRPr="00E5606C">
        <w:rPr>
          <w:rFonts w:ascii="Arial" w:hAnsi="Arial" w:cs="Arial"/>
          <w:sz w:val="22"/>
          <w:szCs w:val="22"/>
        </w:rPr>
        <w:tab/>
      </w:r>
      <w:r w:rsidRPr="00E5606C">
        <w:rPr>
          <w:rFonts w:ascii="Arial" w:hAnsi="Arial" w:cs="Arial"/>
          <w:sz w:val="22"/>
          <w:szCs w:val="22"/>
        </w:rPr>
        <w:tab/>
      </w:r>
      <w:r w:rsidRPr="00E5606C">
        <w:rPr>
          <w:rFonts w:ascii="Arial" w:hAnsi="Arial" w:cs="Arial"/>
          <w:sz w:val="22"/>
          <w:szCs w:val="22"/>
        </w:rPr>
        <w:tab/>
      </w:r>
    </w:p>
    <w:p w:rsidR="004228C1" w:rsidRDefault="008A2044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E5606C">
        <w:rPr>
          <w:rFonts w:ascii="Arial" w:hAnsi="Arial" w:cs="Arial"/>
          <w:sz w:val="22"/>
          <w:szCs w:val="22"/>
        </w:rPr>
        <w:t>TRUSTEE</w:t>
      </w:r>
    </w:p>
    <w:sectPr w:rsidR="00422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">
    <w:nsid w:val="47821445"/>
    <w:multiLevelType w:val="hybridMultilevel"/>
    <w:tmpl w:val="1290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B3D94"/>
    <w:rsid w:val="00107C74"/>
    <w:rsid w:val="001924AC"/>
    <w:rsid w:val="001A7A11"/>
    <w:rsid w:val="002366C5"/>
    <w:rsid w:val="00297D33"/>
    <w:rsid w:val="002B400C"/>
    <w:rsid w:val="002D09F3"/>
    <w:rsid w:val="0031128B"/>
    <w:rsid w:val="003513A1"/>
    <w:rsid w:val="00367AC3"/>
    <w:rsid w:val="00407E29"/>
    <w:rsid w:val="004228C1"/>
    <w:rsid w:val="00572A89"/>
    <w:rsid w:val="00596514"/>
    <w:rsid w:val="006310F2"/>
    <w:rsid w:val="00746ABA"/>
    <w:rsid w:val="00784B88"/>
    <w:rsid w:val="007C34CD"/>
    <w:rsid w:val="007C4CEA"/>
    <w:rsid w:val="00853D5A"/>
    <w:rsid w:val="008A2044"/>
    <w:rsid w:val="008B5FE7"/>
    <w:rsid w:val="008F73DF"/>
    <w:rsid w:val="009926EA"/>
    <w:rsid w:val="009F2999"/>
    <w:rsid w:val="009F3B7D"/>
    <w:rsid w:val="00A75A83"/>
    <w:rsid w:val="00AF68E2"/>
    <w:rsid w:val="00B240BF"/>
    <w:rsid w:val="00B958B3"/>
    <w:rsid w:val="00BD66BF"/>
    <w:rsid w:val="00C1298E"/>
    <w:rsid w:val="00C41064"/>
    <w:rsid w:val="00C77221"/>
    <w:rsid w:val="00CA4DF4"/>
    <w:rsid w:val="00D0498C"/>
    <w:rsid w:val="00D23E20"/>
    <w:rsid w:val="00D26E41"/>
    <w:rsid w:val="00DE0007"/>
    <w:rsid w:val="00E46464"/>
    <w:rsid w:val="00E5606C"/>
    <w:rsid w:val="00ED2F74"/>
    <w:rsid w:val="00F90D5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  <w:style w:type="table" w:styleId="TableGrid">
    <w:name w:val="Table Grid"/>
    <w:basedOn w:val="TableNormal"/>
    <w:uiPriority w:val="39"/>
    <w:rsid w:val="003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16</cp:revision>
  <cp:lastPrinted>2018-04-17T15:02:00Z</cp:lastPrinted>
  <dcterms:created xsi:type="dcterms:W3CDTF">2017-11-10T10:02:00Z</dcterms:created>
  <dcterms:modified xsi:type="dcterms:W3CDTF">2018-04-25T10:08:00Z</dcterms:modified>
</cp:coreProperties>
</file>