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6B"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the </w:t>
      </w:r>
    </w:p>
    <w:p w:rsidR="00170D88" w:rsidRPr="00430A31" w:rsidRDefault="007B316B" w:rsidP="009C15FB">
      <w:pPr>
        <w:pStyle w:val="1stIntroHeadings"/>
        <w:jc w:val="center"/>
        <w:rPr>
          <w:rFonts w:ascii="Arial" w:hAnsi="Arial" w:cs="Arial"/>
          <w:sz w:val="22"/>
          <w:szCs w:val="22"/>
        </w:rPr>
      </w:pPr>
      <w:r w:rsidRPr="007B316B">
        <w:rPr>
          <w:rFonts w:ascii="Arial" w:hAnsi="Arial" w:cs="Arial"/>
          <w:sz w:val="22"/>
          <w:szCs w:val="22"/>
        </w:rPr>
        <w:t>Yeardley Stalybridge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430A31">
        <w:rPr>
          <w:rStyle w:val="Emphasis"/>
          <w:rFonts w:ascii="Arial" w:hAnsi="Arial" w:cs="Arial"/>
          <w:szCs w:val="22"/>
        </w:rPr>
        <w:t>as</w:t>
      </w:r>
      <w:r w:rsidRPr="00430A31">
        <w:rPr>
          <w:rStyle w:val="Emphasis"/>
          <w:rFonts w:ascii="Arial" w:hAnsi="Arial" w:cs="Arial"/>
          <w:i w:val="0"/>
          <w:szCs w:val="22"/>
        </w:rPr>
        <w:t xml:space="preserve"> 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7B316B">
        <w:rPr>
          <w:rStyle w:val="Emphasis"/>
          <w:rFonts w:ascii="Arial" w:hAnsi="Arial" w:cs="Arial"/>
          <w:i w:val="0"/>
          <w:szCs w:val="22"/>
        </w:rPr>
        <w:t>15 December 2014</w:t>
      </w:r>
      <w:r w:rsidR="009C15FB" w:rsidRPr="00430A31">
        <w:rPr>
          <w:rStyle w:val="Emphasis"/>
          <w:rFonts w:ascii="Arial" w:hAnsi="Arial" w:cs="Arial"/>
          <w:i w:val="0"/>
          <w:szCs w:val="22"/>
        </w:rPr>
        <w:t xml:space="preserve"> </w:t>
      </w:r>
      <w:r w:rsidRPr="00430A31">
        <w:rPr>
          <w:rStyle w:val="Emphasis"/>
          <w:rFonts w:ascii="Arial" w:hAnsi="Arial" w:cs="Arial"/>
          <w:i w:val="0"/>
          <w:szCs w:val="22"/>
        </w:rPr>
        <w:t xml:space="preserve">for the </w:t>
      </w:r>
      <w:r w:rsidR="007B316B" w:rsidRPr="007B316B">
        <w:rPr>
          <w:rStyle w:val="Emphasis"/>
          <w:rFonts w:ascii="Arial" w:hAnsi="Arial" w:cs="Arial"/>
          <w:i w:val="0"/>
          <w:szCs w:val="22"/>
        </w:rPr>
        <w:t xml:space="preserve">Yeardley Stalybridge Limited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430A31" w:rsidRDefault="009C15FB" w:rsidP="00430A31">
      <w:pPr>
        <w:jc w:val="left"/>
        <w:rPr>
          <w:rFonts w:ascii="Arial" w:hAnsi="Arial" w:cs="Arial"/>
          <w:b/>
          <w:szCs w:val="22"/>
        </w:rPr>
      </w:pPr>
      <w:r w:rsidRPr="00430A31">
        <w:rPr>
          <w:rFonts w:ascii="Arial" w:hAnsi="Arial" w:cs="Arial"/>
          <w:szCs w:val="22"/>
        </w:rPr>
        <w:t>In exerc</w:t>
      </w:r>
      <w:r w:rsidR="00052FA2">
        <w:rPr>
          <w:rFonts w:ascii="Arial" w:hAnsi="Arial" w:cs="Arial"/>
          <w:szCs w:val="22"/>
        </w:rPr>
        <w:t xml:space="preserve">ise of the powers conferred by </w:t>
      </w:r>
      <w:bookmarkStart w:id="1" w:name="_GoBack"/>
      <w:bookmarkEnd w:id="1"/>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7B316B" w:rsidRPr="007B316B">
        <w:rPr>
          <w:rFonts w:ascii="Arial" w:hAnsi="Arial" w:cs="Arial"/>
          <w:szCs w:val="22"/>
        </w:rPr>
        <w:t>Yeardley Stalybridge Limited</w:t>
      </w:r>
      <w:r w:rsidR="007B316B" w:rsidRPr="00430A31">
        <w:rPr>
          <w:rStyle w:val="Emphasis"/>
          <w:rFonts w:ascii="Arial" w:hAnsi="Arial" w:cs="Arial"/>
          <w:i w:val="0"/>
          <w:szCs w:val="22"/>
        </w:rPr>
        <w:t xml:space="preserve"> </w:t>
      </w:r>
      <w:r w:rsidR="00430A31" w:rsidRPr="00430A31">
        <w:rPr>
          <w:rStyle w:val="Emphasis"/>
          <w:rFonts w:ascii="Arial" w:hAnsi="Arial" w:cs="Arial"/>
          <w:i w:val="0"/>
          <w:szCs w:val="22"/>
        </w:rPr>
        <w:t xml:space="preserve">whose registered office is situate at </w:t>
      </w:r>
      <w:r w:rsidR="00430A31" w:rsidRPr="007B316B">
        <w:rPr>
          <w:rFonts w:ascii="Arial" w:hAnsi="Arial" w:cs="Arial"/>
          <w:shd w:val="clear" w:color="auto" w:fill="FFFFFF"/>
        </w:rPr>
        <w:t xml:space="preserve">17 </w:t>
      </w:r>
      <w:r w:rsidR="007B316B" w:rsidRPr="007B316B">
        <w:rPr>
          <w:rFonts w:ascii="Arial" w:hAnsi="Arial" w:cs="Arial"/>
          <w:shd w:val="clear" w:color="auto" w:fill="FFFFFF"/>
        </w:rPr>
        <w:t>Hilbre Road</w:t>
      </w:r>
      <w:r w:rsidR="007B316B" w:rsidRPr="007B316B">
        <w:rPr>
          <w:rStyle w:val="apple-converted-space"/>
          <w:rFonts w:ascii="Arial" w:hAnsi="Arial" w:cs="Arial"/>
          <w:shd w:val="clear" w:color="auto" w:fill="FFFFFF"/>
        </w:rPr>
        <w:t xml:space="preserve">, </w:t>
      </w:r>
      <w:r w:rsidR="007B316B" w:rsidRPr="007B316B">
        <w:rPr>
          <w:rFonts w:ascii="Arial" w:hAnsi="Arial" w:cs="Arial"/>
          <w:shd w:val="clear" w:color="auto" w:fill="FFFFFF"/>
        </w:rPr>
        <w:t>West Kirby</w:t>
      </w:r>
      <w:r w:rsidR="007B316B" w:rsidRPr="007B316B">
        <w:rPr>
          <w:rStyle w:val="apple-converted-space"/>
          <w:rFonts w:ascii="Arial" w:hAnsi="Arial" w:cs="Arial"/>
          <w:shd w:val="clear" w:color="auto" w:fill="FFFFFF"/>
        </w:rPr>
        <w:t xml:space="preserve">, </w:t>
      </w:r>
      <w:r w:rsidR="007B316B" w:rsidRPr="007B316B">
        <w:rPr>
          <w:rFonts w:ascii="Arial" w:hAnsi="Arial" w:cs="Arial"/>
          <w:shd w:val="clear" w:color="auto" w:fill="FFFFFF"/>
        </w:rPr>
        <w:t>Merseyside</w:t>
      </w:r>
      <w:r w:rsidR="007B316B">
        <w:rPr>
          <w:rStyle w:val="apple-converted-space"/>
          <w:rFonts w:ascii="Arial" w:hAnsi="Arial" w:cs="Arial"/>
          <w:shd w:val="clear" w:color="auto" w:fill="FFFFFF"/>
        </w:rPr>
        <w:t>,</w:t>
      </w:r>
      <w:r w:rsidR="00430A31" w:rsidRPr="007B316B">
        <w:rPr>
          <w:rStyle w:val="apple-converted-space"/>
          <w:rFonts w:ascii="Arial" w:hAnsi="Arial" w:cs="Arial"/>
          <w:shd w:val="clear" w:color="auto" w:fill="FFFFFF"/>
        </w:rPr>
        <w:t xml:space="preserve"> </w:t>
      </w:r>
      <w:r w:rsidR="00430A31" w:rsidRPr="007B316B">
        <w:rPr>
          <w:rFonts w:ascii="Arial" w:hAnsi="Arial" w:cs="Arial"/>
          <w:shd w:val="clear" w:color="auto" w:fill="FFFFFF"/>
        </w:rPr>
        <w:t>CH48 3HA</w:t>
      </w:r>
      <w:r w:rsidR="00430A31" w:rsidRPr="00430A31">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 xml:space="preserve">Company No. </w:t>
      </w:r>
      <w:r w:rsidR="007B316B" w:rsidRPr="007B316B">
        <w:rPr>
          <w:rStyle w:val="Strong"/>
          <w:rFonts w:ascii="Arial" w:hAnsi="Arial" w:cs="Arial"/>
          <w:b w:val="0"/>
          <w:shd w:val="clear" w:color="auto" w:fill="FFFFFF"/>
        </w:rPr>
        <w:t>09246289</w:t>
      </w:r>
      <w:r w:rsidR="00430A31" w:rsidRPr="00430A31">
        <w:rPr>
          <w:rStyle w:val="Strong"/>
          <w:rFonts w:ascii="Arial" w:hAnsi="Arial" w:cs="Arial"/>
          <w:b w:val="0"/>
          <w:shd w:val="clear" w:color="auto" w:fill="FFFFFF"/>
        </w:rPr>
        <w:t>) is removed as Principal Employer and all discretions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052FA2"/>
    <w:rsid w:val="00150194"/>
    <w:rsid w:val="00170D88"/>
    <w:rsid w:val="002D71F7"/>
    <w:rsid w:val="00382C0A"/>
    <w:rsid w:val="004048A2"/>
    <w:rsid w:val="00430A31"/>
    <w:rsid w:val="00766385"/>
    <w:rsid w:val="007B316B"/>
    <w:rsid w:val="00843B7F"/>
    <w:rsid w:val="00946867"/>
    <w:rsid w:val="009844C4"/>
    <w:rsid w:val="009C15FB"/>
    <w:rsid w:val="00E271E5"/>
    <w:rsid w:val="00E679AC"/>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3</cp:revision>
  <dcterms:created xsi:type="dcterms:W3CDTF">2016-01-15T11:04:00Z</dcterms:created>
  <dcterms:modified xsi:type="dcterms:W3CDTF">2016-01-15T12:10:00Z</dcterms:modified>
</cp:coreProperties>
</file>