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sz w:val="56"/>
          <w:szCs w:val="56"/>
          <w:rtl w:val="0"/>
        </w:rPr>
        <w:t xml:space="preserve">Silvercrest Associates Ltd SSAS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The small self administered pension (SSAS) scheme of Silvercrest Associates Ltd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Pension Practitioner:  Pension Practitioner dot com</w:t>
        <w:br w:type="textWrapping"/>
        <w:t xml:space="preserve">Contact: Gavin McCloskey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Trustees: Melvyn Stephen Jones and Ewa Rosciszewska Jones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Beneficiaries: Melvyn Stephen Jones and Ewa Rosciszewska Jones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8 Imperial House, Victory Place, London E14 8BQ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Telephone: 07932 129 775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Trustees Report and Accounts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April 2020 –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April 2021</w:t>
      </w:r>
    </w:p>
    <w:p w:rsidR="00000000" w:rsidDel="00000000" w:rsidP="00000000" w:rsidRDefault="00000000" w:rsidRPr="00000000" w14:paraId="00000012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This report contains historical information about “Silvercrest Associates Ltd SSAS” as well as a report of the year.  The profit and loss report and the balance sheet are also included.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Silvercrest Associates Ltd SSAS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Trustees Report and Accounts 6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April 2020 – 5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April 2021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Trustees Report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Assets purchased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Assets disposed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Loans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Transactions with Trustees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for pension scheme return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Value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Assets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 Property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Shop: “The Ancient Grudge”, 15 High Street, Tewkesbury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 Shops:  Unit 1, 9 Market Street, Unit 2, 1 Temple Street and part basement, Aylesbury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Boathouse Car Park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Leases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High Street, Tewkesbury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 Estate Agent, 29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April 1999 – April 2020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Market Street, Aylesbury,  Unit 1,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 Honcho, Barber,  1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December 2019 – Dec 2029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Temple Street, Aylesbury, Unit 2,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Basement Storage area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Cash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Loan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Contributions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Income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Expenses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Pension Payments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Lump sum payments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Value of pension payments on or after April 2014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Pension paid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Balance Sheet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Profit and Loss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VAT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PAYE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 Return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10223"/>
            </w:tabs>
            <w:spacing w:after="1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Pensions Regulator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B">
      <w:pPr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Trustees Report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The SSAS has two beneficiaries and two trustees one of the trustees is the scheme administrator under the supervision of a Pension Practitioner. It is the SSAS for the company Silvercrest Associates Ltd. The accounts are kept in Sage and kept up-to-date by the trustees.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The fund’s main assets are property,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high street shop, tenants TAG Estate Agents, “The Ancient Grudge” , 15 High Street, Tewkesbury.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high street shops and basement, tenants Head Honcho and currently vacant shop in 9 Market Street/1 Temple Street, a corner property, in Aylesbury.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6/10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ownership of The boathouse car park for 9 cars, The Boathouse, Back of Avon, Tewkesbury.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Money deposited in a bank and also a loan to Silvercrest Associates Ltd with the supporting documents.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The main income for was:-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“The Ancient Grudge” shop at 15 High Street, Tewkesbury, on a 21 year lease with TAG Estate Agent,  expiring in April 2020 ( renewed for a further 10 years to April 2030 ) produced a full years rent of £18,500 with no significant events.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Shop Unit 1, 9 Market Street, Aylesbury, a new 10 year lease with Head Honcho starting on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December 2018, returned £13166.70.   The rent was reduced due to COVID Restrictions closing the shop for several months.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Shop Unit 2, 1 Temple Street, Aylesbury remained empty (new lease started 31/10/2021).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 from the loan to Silvercrest Associates Ltd was £3000.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car park generated £2310.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fund did not payout any pension or pay any fee for the work done by  the trustees, the  fund value was increased by £31877.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The main expenditure was spent on property maintenance. No significant costs.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The main events were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second  repayment from the loan to Silvercrest Associates Ltd of £23,000 was received, leaving £60,000 to be paid.</w:t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Assets purchased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No assets purchased in 2020 - 2021</w:t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Assets disposed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No assets were disposed of in 2020 - 2021</w:t>
      </w:r>
    </w:p>
    <w:p w:rsidR="00000000" w:rsidDel="00000000" w:rsidP="00000000" w:rsidRDefault="00000000" w:rsidRPr="00000000" w14:paraId="00000052">
      <w:pPr>
        <w:pStyle w:val="Heading1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Loans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The second repayment from the loan to Silvercrest Associates Ltd of £23,000 including interest was received, leaving £60,000 outstanding.  The loan is secured on 1A Temple Street, a one bedroom flat owned by the company, with a charge on the title deeds.</w:t>
      </w:r>
    </w:p>
    <w:p w:rsidR="00000000" w:rsidDel="00000000" w:rsidP="00000000" w:rsidRDefault="00000000" w:rsidRPr="00000000" w14:paraId="00000054">
      <w:pPr>
        <w:pStyle w:val="Heading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Transactions with Trustees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There were no transactions directly between the Trustees and the SSAS.  </w:t>
      </w:r>
    </w:p>
    <w:p w:rsidR="00000000" w:rsidDel="00000000" w:rsidP="00000000" w:rsidRDefault="00000000" w:rsidRPr="00000000" w14:paraId="00000056">
      <w:pPr>
        <w:pStyle w:val="Heading1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Information for pension scheme return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The pension scheme does not have any interest in tangible moveable property.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The pension scheme does not own any shares in the sponsoring employer.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The pension scheme did not dispose of any shares in the sponsoring company.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The pension scheme does not own or did not acquire any shares in an unquoted company.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The scheme did not acquire any assets directly or indirectly from a connected party.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No member took funds from the scheme.</w:t>
      </w:r>
    </w:p>
    <w:p w:rsidR="00000000" w:rsidDel="00000000" w:rsidP="00000000" w:rsidRDefault="00000000" w:rsidRPr="00000000" w14:paraId="0000005D">
      <w:pPr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Fund Value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 total value of the fund on 31st March 2021 was £798,084 an increase of  £31,877.</w:t>
      </w:r>
    </w:p>
    <w:p w:rsidR="00000000" w:rsidDel="00000000" w:rsidP="00000000" w:rsidRDefault="00000000" w:rsidRPr="00000000" w14:paraId="00000061">
      <w:pPr>
        <w:pStyle w:val="Heading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Assets </w:t>
      </w:r>
    </w:p>
    <w:p w:rsidR="00000000" w:rsidDel="00000000" w:rsidP="00000000" w:rsidRDefault="00000000" w:rsidRPr="00000000" w14:paraId="00000062">
      <w:pPr>
        <w:pStyle w:val="Heading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Commercial Property</w:t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Shop: “The Ancient Grudge”, 15 High Street, Tewkesbury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The SSAS owns the commercial part of 15, High Street, Tewkesbury comprising of a High Street Shop currently let to TAG Estate Agents.   The remainder of the property which consists of residential units is owned by the trustees in their own right.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This division is formalised by a deed of trust and noted on the title of the property at the Land Registry.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The property was valued again in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November 2018 by John Ryde Commercial. The value of the shop was £190,000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The property does not have a VAT option to tax.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VALUE: £190,000</w:t>
      </w:r>
    </w:p>
    <w:p w:rsidR="00000000" w:rsidDel="00000000" w:rsidP="00000000" w:rsidRDefault="00000000" w:rsidRPr="00000000" w14:paraId="00000069">
      <w:pPr>
        <w:pStyle w:val="Heading2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Two Shops:  Unit 1, 9 Market Street, Unit 2, 1 Temple Street and part basement, Aylesbury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In June 2011 a commercial property in Aylesbury was bought.  The property is on a corner with two addresses, the address of the office was 1 Temple Street and the shop 9 Market Street.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 13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December 2018 the shops were valued by Brasier Freeth and given a market value of £350,000. 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The property does have a VAT option to tax.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Book value of SSAS’s shop lease April 2018 : £350,000</w:t>
      </w:r>
    </w:p>
    <w:p w:rsidR="00000000" w:rsidDel="00000000" w:rsidP="00000000" w:rsidRDefault="00000000" w:rsidRPr="00000000" w14:paraId="0000006E">
      <w:pPr>
        <w:pStyle w:val="Heading2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The Boathouse Car Park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The ownership of “The Boathouse” is divided between the Trustees and SSAS on a 40/60 basis reflecting the initial aim of selling off the derelict building and keeping 9 parking spaces.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This division is formalised in a declaration of trust which is noted in the title of the property.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The retained land used as a car park was valued on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November 2018 by John Ryde Commercial. The value of the car park is £41,037</w:t>
      </w:r>
    </w:p>
    <w:p w:rsidR="00000000" w:rsidDel="00000000" w:rsidP="00000000" w:rsidRDefault="00000000" w:rsidRPr="00000000" w14:paraId="0000007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Book value reflects the purchase price  and associated costs £41,037</w:t>
      </w:r>
    </w:p>
    <w:p w:rsidR="00000000" w:rsidDel="00000000" w:rsidP="00000000" w:rsidRDefault="00000000" w:rsidRPr="00000000" w14:paraId="00000073">
      <w:pPr>
        <w:pStyle w:val="Heading1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Leases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15 High Street, Tewkesbury</w:t>
      </w:r>
    </w:p>
    <w:p w:rsidR="00000000" w:rsidDel="00000000" w:rsidP="00000000" w:rsidRDefault="00000000" w:rsidRPr="00000000" w14:paraId="00000076">
      <w:pPr>
        <w:pStyle w:val="Heading3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 TAG Estate Agent, 29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April 1999 – April 2020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TAG Estate Agents  for 21 years expiring April 2020. This lease is has been renewed for another 10 years at the same rent of £18,500.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No known deposit.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Rateable value is £12,750.</w:t>
      </w:r>
    </w:p>
    <w:p w:rsidR="00000000" w:rsidDel="00000000" w:rsidP="00000000" w:rsidRDefault="00000000" w:rsidRPr="00000000" w14:paraId="0000007A">
      <w:pPr>
        <w:pStyle w:val="Heading2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  <w:t xml:space="preserve">9 Market Street, Aylesbury,  Unit 1, </w:t>
      </w:r>
    </w:p>
    <w:p w:rsidR="00000000" w:rsidDel="00000000" w:rsidP="00000000" w:rsidRDefault="00000000" w:rsidRPr="00000000" w14:paraId="0000007B">
      <w:pPr>
        <w:pStyle w:val="Heading3"/>
        <w:rPr/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  <w:t xml:space="preserve">Head Honcho, Barber, 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December 2019 – Dec 2029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10 Year Lease.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Rent £15,500 pa plus vat.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Break clause 3, 5 and 8 years. One month rent free.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Deposit £9300.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Rateable Value is £14,750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rPr/>
      </w:pPr>
      <w:bookmarkStart w:colFirst="0" w:colLast="0" w:name="_heading=h.3j2qqm3" w:id="19"/>
      <w:bookmarkEnd w:id="19"/>
      <w:r w:rsidDel="00000000" w:rsidR="00000000" w:rsidRPr="00000000">
        <w:rPr>
          <w:rtl w:val="0"/>
        </w:rPr>
        <w:t xml:space="preserve">1 Temple Street, Aylesbury, Unit 2, </w:t>
      </w:r>
    </w:p>
    <w:p w:rsidR="00000000" w:rsidDel="00000000" w:rsidP="00000000" w:rsidRDefault="00000000" w:rsidRPr="00000000" w14:paraId="0000008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Vacant</w:t>
      </w:r>
    </w:p>
    <w:p w:rsidR="00000000" w:rsidDel="00000000" w:rsidP="00000000" w:rsidRDefault="00000000" w:rsidRPr="00000000" w14:paraId="0000008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Rateable value is £14,750</w:t>
      </w:r>
    </w:p>
    <w:p w:rsidR="00000000" w:rsidDel="00000000" w:rsidP="00000000" w:rsidRDefault="00000000" w:rsidRPr="00000000" w14:paraId="00000084">
      <w:pPr>
        <w:pStyle w:val="Heading2"/>
        <w:rPr/>
      </w:pPr>
      <w:bookmarkStart w:colFirst="0" w:colLast="0" w:name="_heading=h.1y810tw" w:id="20"/>
      <w:bookmarkEnd w:id="20"/>
      <w:r w:rsidDel="00000000" w:rsidR="00000000" w:rsidRPr="00000000">
        <w:rPr>
          <w:rtl w:val="0"/>
        </w:rPr>
        <w:t xml:space="preserve">Basement Storage area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Unoccupied.</w:t>
      </w:r>
    </w:p>
    <w:p w:rsidR="00000000" w:rsidDel="00000000" w:rsidP="00000000" w:rsidRDefault="00000000" w:rsidRPr="00000000" w14:paraId="00000086">
      <w:pPr>
        <w:pStyle w:val="Heading2"/>
        <w:rPr/>
      </w:pPr>
      <w:bookmarkStart w:colFirst="0" w:colLast="0" w:name="_heading=h.4i7ojhp" w:id="21"/>
      <w:bookmarkEnd w:id="21"/>
      <w:r w:rsidDel="00000000" w:rsidR="00000000" w:rsidRPr="00000000">
        <w:rPr>
          <w:rtl w:val="0"/>
        </w:rPr>
        <w:t xml:space="preserve">Cash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During this period the fund had a bank account with Cater Allen.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The  deposits for the leases will be held in the Cater Allen bank account. 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The value placed in the cash is taken from the balance sheet after liabilities have been deducted.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b w:val="1"/>
          <w:rtl w:val="0"/>
        </w:rPr>
        <w:t xml:space="preserve">Balance sheet, Current Assets less current liabilities</w:t>
      </w:r>
      <w:r w:rsidDel="00000000" w:rsidR="00000000" w:rsidRPr="00000000">
        <w:rPr>
          <w:rtl w:val="0"/>
        </w:rPr>
        <w:t xml:space="preserve">:  £217,060.16</w:t>
      </w:r>
    </w:p>
    <w:p w:rsidR="00000000" w:rsidDel="00000000" w:rsidP="00000000" w:rsidRDefault="00000000" w:rsidRPr="00000000" w14:paraId="0000008B">
      <w:pPr>
        <w:pStyle w:val="Heading2"/>
        <w:rPr/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  <w:t xml:space="preserve">Shares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No shares are owned by the SSAS.</w:t>
      </w:r>
    </w:p>
    <w:p w:rsidR="00000000" w:rsidDel="00000000" w:rsidP="00000000" w:rsidRDefault="00000000" w:rsidRPr="00000000" w14:paraId="0000008D">
      <w:pPr>
        <w:pStyle w:val="Heading1"/>
        <w:rPr/>
      </w:pPr>
      <w:bookmarkStart w:colFirst="0" w:colLast="0" w:name="_heading=h.1ci93xb" w:id="23"/>
      <w:bookmarkEnd w:id="23"/>
      <w:r w:rsidDel="00000000" w:rsidR="00000000" w:rsidRPr="00000000">
        <w:rPr>
          <w:rtl w:val="0"/>
        </w:rPr>
        <w:t xml:space="preserve">Loan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A loan of £100,000 was made to Silvercrest Associates Ltd on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February 2019.  This was according to guidelines of a 5 year period with the principle being paid back each year in equal instalments.  The interest is the same as an arms length loan with a high street bank or similar. Currently a secured loan or mortgage would be of around 3%.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The first payment of £23,000 was received in February 2020, and the second payment of £23,000 on February 2021, £3000 interest and £20,000 principle leaving £60,000 outstanding.</w:t>
      </w:r>
    </w:p>
    <w:p w:rsidR="00000000" w:rsidDel="00000000" w:rsidP="00000000" w:rsidRDefault="00000000" w:rsidRPr="00000000" w14:paraId="00000090">
      <w:pPr>
        <w:pStyle w:val="Heading1"/>
        <w:rPr/>
      </w:pPr>
      <w:bookmarkStart w:colFirst="0" w:colLast="0" w:name="_heading=h.3whwml4" w:id="24"/>
      <w:bookmarkEnd w:id="24"/>
      <w:r w:rsidDel="00000000" w:rsidR="00000000" w:rsidRPr="00000000">
        <w:rPr>
          <w:rtl w:val="0"/>
        </w:rPr>
        <w:t xml:space="preserve">Contributions</w:t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 contributions were made in this financial year 2020-21.  All of the fund is  crystallised.  </w:t>
      </w:r>
    </w:p>
    <w:p w:rsidR="00000000" w:rsidDel="00000000" w:rsidP="00000000" w:rsidRDefault="00000000" w:rsidRPr="00000000" w14:paraId="00000092">
      <w:pPr>
        <w:pStyle w:val="Heading1"/>
        <w:rPr/>
      </w:pPr>
      <w:bookmarkStart w:colFirst="0" w:colLast="0" w:name="_heading=h.2bn6wsx" w:id="25"/>
      <w:bookmarkEnd w:id="25"/>
      <w:r w:rsidDel="00000000" w:rsidR="00000000" w:rsidRPr="00000000">
        <w:rPr>
          <w:rtl w:val="0"/>
        </w:rPr>
        <w:t xml:space="preserve">Income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Rent income from Tag Estate agents the tenants of the shop in Tewkesbury.  This has three elements, rent, contribution towards the property insurance and a service charge towards repairs. Rent from Head Honcho. Electricity and water bills for the two Aylesbury shops are paid by the SSAS and charged back to the two shops.</w:t>
      </w:r>
    </w:p>
    <w:p w:rsidR="00000000" w:rsidDel="00000000" w:rsidP="00000000" w:rsidRDefault="00000000" w:rsidRPr="00000000" w14:paraId="00000094">
      <w:pPr>
        <w:pStyle w:val="Heading1"/>
        <w:rPr/>
      </w:pPr>
      <w:bookmarkStart w:colFirst="0" w:colLast="0" w:name="_heading=h.qsh70q" w:id="26"/>
      <w:bookmarkEnd w:id="26"/>
      <w:r w:rsidDel="00000000" w:rsidR="00000000" w:rsidRPr="00000000">
        <w:rPr>
          <w:rtl w:val="0"/>
        </w:rPr>
        <w:t xml:space="preserve">Expenses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The expenses were for the following:-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Running the SSAS, pension, accountancy and book keeping professional fees.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Travelling to Tewkesbury and also Aylesbury for meetings with the buyers, builder and architects.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fees to Engineers etc related to the building repair work and car park construction.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 fees for new lease and surrender of old.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Agency fee for finding new tenant.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Building insurance.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Building repairs</w:t>
      </w:r>
    </w:p>
    <w:p w:rsidR="00000000" w:rsidDel="00000000" w:rsidP="00000000" w:rsidRDefault="00000000" w:rsidRPr="00000000" w14:paraId="0000009D">
      <w:pPr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1"/>
        <w:rPr/>
      </w:pPr>
      <w:bookmarkStart w:colFirst="0" w:colLast="0" w:name="_heading=h.3as4poj" w:id="27"/>
      <w:bookmarkEnd w:id="27"/>
      <w:r w:rsidDel="00000000" w:rsidR="00000000" w:rsidRPr="00000000">
        <w:rPr>
          <w:rtl w:val="0"/>
        </w:rPr>
        <w:t xml:space="preserve">Pension Payments</w:t>
      </w:r>
    </w:p>
    <w:p w:rsidR="00000000" w:rsidDel="00000000" w:rsidP="00000000" w:rsidRDefault="00000000" w:rsidRPr="00000000" w14:paraId="0000009F">
      <w:pPr>
        <w:pStyle w:val="Heading2"/>
        <w:rPr/>
      </w:pPr>
      <w:bookmarkStart w:colFirst="0" w:colLast="0" w:name="_heading=h.1pxezwc" w:id="28"/>
      <w:bookmarkEnd w:id="28"/>
      <w:r w:rsidDel="00000000" w:rsidR="00000000" w:rsidRPr="00000000">
        <w:rPr>
          <w:rtl w:val="0"/>
        </w:rPr>
        <w:t xml:space="preserve">Lump sum payments</w:t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the pension fund was crystallised in other years and no new contributions were made no lump sum payments were made in this period.  </w:t>
      </w:r>
    </w:p>
    <w:p w:rsidR="00000000" w:rsidDel="00000000" w:rsidP="00000000" w:rsidRDefault="00000000" w:rsidRPr="00000000" w14:paraId="000000A1">
      <w:pPr>
        <w:pStyle w:val="Heading2"/>
        <w:rPr/>
      </w:pPr>
      <w:bookmarkStart w:colFirst="0" w:colLast="0" w:name="_heading=h.49x2ik5" w:id="29"/>
      <w:bookmarkEnd w:id="29"/>
      <w:r w:rsidDel="00000000" w:rsidR="00000000" w:rsidRPr="00000000">
        <w:rPr>
          <w:rtl w:val="0"/>
        </w:rPr>
        <w:t xml:space="preserve">Value of pension payments on or after April 2014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All the pension fund has been crystallised.</w:t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maximum amount of pension payable from a fund of this size is for M. Jones £28,678 and E. Jones £28,092. This was advised by Pension Practioneer dot com in 2014.</w:t>
      </w:r>
    </w:p>
    <w:p w:rsidR="00000000" w:rsidDel="00000000" w:rsidP="00000000" w:rsidRDefault="00000000" w:rsidRPr="00000000" w14:paraId="000000A4">
      <w:pPr>
        <w:pStyle w:val="Heading2"/>
        <w:rPr/>
      </w:pPr>
      <w:bookmarkStart w:colFirst="0" w:colLast="0" w:name="_heading=h.2p2csry" w:id="30"/>
      <w:bookmarkEnd w:id="30"/>
      <w:r w:rsidDel="00000000" w:rsidR="00000000" w:rsidRPr="00000000">
        <w:rPr>
          <w:rtl w:val="0"/>
        </w:rPr>
        <w:t xml:space="preserve">Pension paid</w:t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Mel and  Ewa took no pension in 2020 - 2021.</w:t>
      </w:r>
    </w:p>
    <w:p w:rsidR="00000000" w:rsidDel="00000000" w:rsidP="00000000" w:rsidRDefault="00000000" w:rsidRPr="00000000" w14:paraId="000000A6">
      <w:pPr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rPr>
          <w:color w:val="000000"/>
        </w:rPr>
      </w:pPr>
      <w:bookmarkStart w:colFirst="0" w:colLast="0" w:name="_heading=h.147n2zr" w:id="31"/>
      <w:bookmarkEnd w:id="31"/>
      <w:r w:rsidDel="00000000" w:rsidR="00000000" w:rsidRPr="00000000">
        <w:rPr>
          <w:color w:val="000000"/>
          <w:rtl w:val="0"/>
        </w:rPr>
        <w:t xml:space="preserve">Balance Sheet</w:t>
      </w:r>
    </w:p>
    <w:tbl>
      <w:tblPr>
        <w:tblStyle w:val="Table1"/>
        <w:tblW w:w="7645.0" w:type="dxa"/>
        <w:jc w:val="left"/>
        <w:tblInd w:w="93.0" w:type="dxa"/>
        <w:tblLayout w:type="fixed"/>
        <w:tblLook w:val="0400"/>
      </w:tblPr>
      <w:tblGrid>
        <w:gridCol w:w="3940"/>
        <w:gridCol w:w="1665"/>
        <w:gridCol w:w="2040"/>
        <w:tblGridChange w:id="0">
          <w:tblGrid>
            <w:gridCol w:w="3940"/>
            <w:gridCol w:w="1665"/>
            <w:gridCol w:w="204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Year to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Fixed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Property-The Ancient Grudge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£190,000.00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Property-Aylesbury, 1 Temple Street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£350,000.00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Property-The Boathouse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£41,024.06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£581,024.06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Current Assets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Prepayments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£62,162.05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Bank Account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£164,568.81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VAT Liability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£226,730.86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Current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Other Creditors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£9,300.00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VAT Liability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£370.70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£9,670.70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Current Assets less Current Liabilities: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£217,060.16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Total Assets less Current Liabilities: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£798,084.22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Long Term Liabilities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£0.00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Total Assets less Total Liabilities: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£798,084.22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Capital &amp; Reserves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Reserves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£766,207.06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 &amp; L Account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£31,877.16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£798,084.22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1"/>
        <w:rPr>
          <w:color w:val="000000"/>
        </w:rPr>
      </w:pPr>
      <w:bookmarkStart w:colFirst="0" w:colLast="0" w:name="_heading=h.3o7alnk" w:id="32"/>
      <w:bookmarkEnd w:id="32"/>
      <w:r w:rsidDel="00000000" w:rsidR="00000000" w:rsidRPr="00000000">
        <w:rPr>
          <w:color w:val="000000"/>
          <w:rtl w:val="0"/>
        </w:rPr>
        <w:t xml:space="preserve">Profit and Loss</w:t>
      </w:r>
    </w:p>
    <w:tbl>
      <w:tblPr>
        <w:tblStyle w:val="Table2"/>
        <w:tblW w:w="7351.0" w:type="dxa"/>
        <w:jc w:val="left"/>
        <w:tblInd w:w="93.0" w:type="dxa"/>
        <w:tblLayout w:type="fixed"/>
        <w:tblLook w:val="0400"/>
      </w:tblPr>
      <w:tblGrid>
        <w:gridCol w:w="4720"/>
        <w:gridCol w:w="1420"/>
        <w:gridCol w:w="1211"/>
        <w:tblGridChange w:id="0">
          <w:tblGrid>
            <w:gridCol w:w="4720"/>
            <w:gridCol w:w="1420"/>
            <w:gridCol w:w="121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Year to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Interest Earned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£3,158.22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Unit 1, 1 Temple Street Rent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£13,166.70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Rental Income-TAG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£18,500.04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Insurance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£992.34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Service Charge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£900.00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Boathouse Car Park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£2,310.00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£39,027.30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Purchases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£0.00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Direct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Sales Promotion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£256.67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£256.67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Gross Profit/(Loss):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£38,770.63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Overheads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Water Rates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£54.04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Premises 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£1,887.42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Electricity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£1,430.92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Accy Fees-The Pension Practitioner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£180.58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Accy Fees-Invisible Bookkeeper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£125.00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Prof Fees-Pension Levy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Prof Fees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£251.50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Maintenance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£2,081.52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Cleaning-CW Hygiene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£653.49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Premises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£6,893.47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Net Profit/(Loss):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£31,877.16</w:t>
            </w:r>
          </w:p>
        </w:tc>
      </w:tr>
    </w:tbl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ambria" w:cs="Cambria" w:eastAsia="Cambria" w:hAnsi="Cambria"/>
          <w:color w:val="36609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Heading1"/>
        <w:rPr/>
      </w:pPr>
      <w:bookmarkStart w:colFirst="0" w:colLast="0" w:name="_heading=h.23ckvvd" w:id="33"/>
      <w:bookmarkEnd w:id="33"/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156">
      <w:pPr>
        <w:pStyle w:val="Heading2"/>
        <w:rPr/>
      </w:pPr>
      <w:bookmarkStart w:colFirst="0" w:colLast="0" w:name="_heading=h.ihv636" w:id="34"/>
      <w:bookmarkEnd w:id="34"/>
      <w:r w:rsidDel="00000000" w:rsidR="00000000" w:rsidRPr="00000000">
        <w:rPr>
          <w:rtl w:val="0"/>
        </w:rPr>
        <w:t xml:space="preserve">VAT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The pension fund was registered for VAT on 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May 2011 with registration number “111 5752 46”. This was because of the purchase of the property in Aylesbury which was subject to VAT.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An option to tax was taken on 1 Temple Street/9 Market Street Aylesbury during the conveyancing of the property.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The SSAS is in the annual accounting scheme with a VAT return due on 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March each year.</w:t>
      </w:r>
    </w:p>
    <w:p w:rsidR="00000000" w:rsidDel="00000000" w:rsidP="00000000" w:rsidRDefault="00000000" w:rsidRPr="00000000" w14:paraId="0000015A">
      <w:pPr>
        <w:pStyle w:val="Heading2"/>
        <w:rPr/>
      </w:pPr>
      <w:bookmarkStart w:colFirst="0" w:colLast="0" w:name="_heading=h.32hioqz" w:id="35"/>
      <w:bookmarkEnd w:id="35"/>
      <w:r w:rsidDel="00000000" w:rsidR="00000000" w:rsidRPr="00000000">
        <w:rPr>
          <w:rtl w:val="0"/>
        </w:rPr>
        <w:t xml:space="preserve">PAYE 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Paye tax must be paid on the pension paid to the Trustees. Calculation of tax and administration of the SSAS PAYE scheme is done by Pension Practitioner dot com.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PAYE references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Sefot Area, The triad, Stanley Road, Bootle L75 1HT</w:t>
        <w:br w:type="textWrapping"/>
        <w:t xml:space="preserve">PAYE Employer Reference:</w:t>
        <w:tab/>
        <w:t xml:space="preserve">083/GA46074</w:t>
        <w:br w:type="textWrapping"/>
        <w:t xml:space="preserve">Account Ref:</w:t>
        <w:tab/>
        <w:tab/>
        <w:tab/>
        <w:t xml:space="preserve">083PP00228289</w:t>
      </w:r>
    </w:p>
    <w:p w:rsidR="00000000" w:rsidDel="00000000" w:rsidP="00000000" w:rsidRDefault="00000000" w:rsidRPr="00000000" w14:paraId="0000015E">
      <w:pPr>
        <w:pStyle w:val="Heading2"/>
        <w:rPr/>
      </w:pPr>
      <w:bookmarkStart w:colFirst="0" w:colLast="0" w:name="_heading=h.1hmsyys" w:id="36"/>
      <w:bookmarkEnd w:id="36"/>
      <w:r w:rsidDel="00000000" w:rsidR="00000000" w:rsidRPr="00000000">
        <w:rPr>
          <w:rtl w:val="0"/>
        </w:rPr>
        <w:t xml:space="preserve">Tax Return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Pension Scheme Tax Reference 00712161RC registered since 22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February 2008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A return for the SSAS is required each tax year.  Tax returns for 07-08, 08-09 and 09-10 were made by the Trustees. All subsequent returns have been made by Pension Practitioner dot com</w:t>
      </w:r>
    </w:p>
    <w:p w:rsidR="00000000" w:rsidDel="00000000" w:rsidP="00000000" w:rsidRDefault="00000000" w:rsidRPr="00000000" w14:paraId="00000161">
      <w:pPr>
        <w:pStyle w:val="Heading2"/>
        <w:rPr/>
      </w:pPr>
      <w:bookmarkStart w:colFirst="0" w:colLast="0" w:name="_heading=h.41mghml" w:id="37"/>
      <w:bookmarkEnd w:id="37"/>
      <w:r w:rsidDel="00000000" w:rsidR="00000000" w:rsidRPr="00000000">
        <w:rPr>
          <w:rtl w:val="0"/>
        </w:rPr>
        <w:t xml:space="preserve">The Pensions Regulator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The SSAS is registered with the pension regulator and is required on an annual basis to fill in a return.   This return will be made by Pension Practitioner dot com.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Scheme Key H65RL1ARDQZY   Pension Scheme Registration Number:</w:t>
        <w:tab/>
        <w:t xml:space="preserve">1027638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Style w:val="Heading1"/>
        <w:rPr>
          <w:b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92" w:top="1440" w:left="1440" w:right="567" w:header="284" w:footer="1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Inland Revenue Tax Reference:  00712161RC  </w:t>
      <w:tab/>
      <w:tab/>
      <w:t xml:space="preserve">VAT registration number:  111 5752 46</w:t>
      <w:tab/>
      <w:br w:type="textWrapping"/>
      <w:t xml:space="preserve">Pension Regulator Registration number 10276389</w:t>
      <w:br w:type="textWrapping"/>
      <w:t xml:space="preserve"> Page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Silvercrest Associates Ltd SSAS</w:t>
    </w:r>
  </w:p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Trustees Report and Accounts for 2020 – 2021</w:t>
    </w:r>
  </w:p>
  <w:p w:rsidR="00000000" w:rsidDel="00000000" w:rsidP="00000000" w:rsidRDefault="00000000" w:rsidRPr="00000000" w14:paraId="000001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414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E6FF6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B291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853E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4C5200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E6FF6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5B2911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9C2FC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C2FC9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9C2FC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2FC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133C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133C3"/>
    <w:rPr>
      <w:rFonts w:ascii="Tahoma" w:cs="Tahoma" w:hAnsi="Tahoma"/>
      <w:sz w:val="16"/>
      <w:szCs w:val="1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0853EF"/>
    <w:rPr>
      <w:rFonts w:asciiTheme="majorHAnsi" w:cstheme="majorBidi" w:eastAsiaTheme="majorEastAsia" w:hAnsiTheme="majorHAnsi"/>
      <w:b w:val="1"/>
      <w:bCs w:val="1"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 w:val="1"/>
    <w:rsid w:val="005E3A96"/>
    <w:pPr>
      <w:ind w:left="720"/>
      <w:contextualSpacing w:val="1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AF7EA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F7EA1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AF7EA1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AF7EA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 w:val="1"/>
    <w:rsid w:val="00AF7EA1"/>
    <w:rPr>
      <w:color w:val="0000ff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4C5200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WrySQ32lFEOgbS2+k/bf0PCDw==">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2015-04-09T12:35:00Z</dcterms:created>
  <dc:creator>Windows User</dc:creator>
</cp:coreProperties>
</file>