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5" w:type="dxa"/>
        <w:tblLayout w:type="fixed"/>
        <w:tblLook w:val="04A0" w:firstRow="1" w:lastRow="0" w:firstColumn="1" w:lastColumn="0" w:noHBand="0" w:noVBand="1"/>
      </w:tblPr>
      <w:tblGrid>
        <w:gridCol w:w="4734"/>
        <w:gridCol w:w="5451"/>
      </w:tblGrid>
      <w:tr w:rsidR="00054089" w:rsidRPr="00106F09" w:rsidTr="00106F09">
        <w:tc>
          <w:tcPr>
            <w:tcW w:w="10185" w:type="dxa"/>
            <w:gridSpan w:val="2"/>
          </w:tcPr>
          <w:p w:rsidR="005D2325" w:rsidRPr="00106F09" w:rsidRDefault="00106F09" w:rsidP="005D2325">
            <w:pPr>
              <w:spacing w:after="0"/>
              <w:rPr>
                <w:rFonts w:ascii="Arial" w:hAnsi="Arial" w:cs="Arial"/>
                <w:sz w:val="20"/>
                <w:lang w:val="en-GB" w:eastAsia="en-US"/>
              </w:rPr>
            </w:pPr>
            <w:bookmarkStart w:id="0" w:name="_GoBack"/>
            <w:bookmarkEnd w:id="0"/>
            <w:r w:rsidRPr="00106F09">
              <w:rPr>
                <w:rFonts w:ascii="Arial" w:hAnsi="Arial" w:cs="Arial"/>
                <w:sz w:val="20"/>
                <w:lang w:val="en-GB"/>
              </w:rPr>
              <w:t>Our Ref: MR/JC/STO4134/59834</w:t>
            </w:r>
          </w:p>
          <w:p w:rsidR="005D2325" w:rsidRPr="00106F09" w:rsidRDefault="006E2F92" w:rsidP="005D2325">
            <w:pPr>
              <w:spacing w:after="0"/>
              <w:rPr>
                <w:rFonts w:ascii="Arial" w:hAnsi="Arial" w:cs="Arial"/>
                <w:b/>
                <w:sz w:val="20"/>
                <w:lang w:val="en-GB"/>
              </w:rPr>
            </w:pPr>
          </w:p>
          <w:p w:rsidR="005D2325" w:rsidRPr="00106F09" w:rsidRDefault="006E2F92" w:rsidP="005D2325">
            <w:pPr>
              <w:spacing w:after="0"/>
              <w:rPr>
                <w:rFonts w:ascii="Arial" w:hAnsi="Arial" w:cs="Arial"/>
                <w:b/>
                <w:sz w:val="20"/>
                <w:lang w:val="en-GB"/>
              </w:rPr>
            </w:pPr>
          </w:p>
          <w:p w:rsidR="005D2325" w:rsidRPr="00106F09" w:rsidRDefault="00106F09" w:rsidP="005D2325">
            <w:pPr>
              <w:spacing w:after="0"/>
              <w:rPr>
                <w:rFonts w:ascii="Arial" w:hAnsi="Arial" w:cs="Arial"/>
                <w:sz w:val="20"/>
                <w:lang w:val="en-GB"/>
              </w:rPr>
            </w:pPr>
            <w:r w:rsidRPr="00106F09">
              <w:rPr>
                <w:rFonts w:ascii="Arial" w:hAnsi="Arial" w:cs="Arial"/>
                <w:sz w:val="20"/>
                <w:lang w:val="en-GB"/>
              </w:rPr>
              <w:fldChar w:fldCharType="begin"/>
            </w:r>
            <w:r w:rsidRPr="00106F09">
              <w:rPr>
                <w:rFonts w:ascii="Arial" w:hAnsi="Arial" w:cs="Arial"/>
                <w:sz w:val="20"/>
                <w:lang w:val="en-GB"/>
              </w:rPr>
              <w:instrText xml:space="preserve"> DATE \@ "d MMMM yyyy" \* MERGEFORMAT </w:instrText>
            </w:r>
            <w:r w:rsidRPr="00106F09">
              <w:rPr>
                <w:rFonts w:ascii="Arial" w:hAnsi="Arial" w:cs="Arial"/>
                <w:sz w:val="20"/>
                <w:lang w:val="en-GB"/>
              </w:rPr>
              <w:fldChar w:fldCharType="separate"/>
            </w:r>
            <w:r w:rsidR="006E2F92">
              <w:rPr>
                <w:rFonts w:ascii="Arial" w:hAnsi="Arial" w:cs="Arial"/>
                <w:noProof/>
                <w:sz w:val="20"/>
                <w:lang w:val="en-GB"/>
              </w:rPr>
              <w:t>13 March 2014</w:t>
            </w:r>
            <w:r w:rsidRPr="00106F09">
              <w:rPr>
                <w:rFonts w:ascii="Arial" w:hAnsi="Arial" w:cs="Arial"/>
                <w:sz w:val="20"/>
                <w:lang w:val="en-GB"/>
              </w:rPr>
              <w:fldChar w:fldCharType="end"/>
            </w:r>
          </w:p>
          <w:p w:rsidR="005D2325" w:rsidRPr="00106F09" w:rsidRDefault="006E2F92" w:rsidP="005D2325">
            <w:pPr>
              <w:spacing w:after="0"/>
              <w:rPr>
                <w:rFonts w:ascii="Arial" w:hAnsi="Arial" w:cs="Arial"/>
                <w:b/>
                <w:sz w:val="20"/>
                <w:lang w:val="en-GB"/>
              </w:rPr>
            </w:pPr>
          </w:p>
          <w:p w:rsidR="005D2325" w:rsidRPr="00106F09" w:rsidRDefault="006E2F92" w:rsidP="005D2325">
            <w:pPr>
              <w:spacing w:after="0"/>
              <w:rPr>
                <w:rFonts w:ascii="Arial" w:hAnsi="Arial" w:cs="Arial"/>
                <w:b/>
                <w:sz w:val="20"/>
                <w:lang w:val="en-GB"/>
              </w:rPr>
            </w:pPr>
          </w:p>
          <w:p w:rsidR="005D2325" w:rsidRPr="00106F09" w:rsidRDefault="00106F09" w:rsidP="005D2325">
            <w:pPr>
              <w:spacing w:after="0"/>
              <w:rPr>
                <w:rFonts w:ascii="Arial" w:hAnsi="Arial" w:cs="Arial"/>
                <w:b/>
                <w:sz w:val="20"/>
                <w:lang w:val="en-GB"/>
              </w:rPr>
            </w:pPr>
            <w:r w:rsidRPr="00106F09">
              <w:rPr>
                <w:rFonts w:ascii="Arial" w:hAnsi="Arial" w:cs="Arial"/>
                <w:sz w:val="20"/>
                <w:lang w:val="en-GB"/>
              </w:rPr>
              <w:t>The Directors</w:t>
            </w:r>
            <w:r w:rsidRPr="00106F09">
              <w:rPr>
                <w:rFonts w:ascii="Arial" w:hAnsi="Arial" w:cs="Arial"/>
                <w:b/>
                <w:sz w:val="20"/>
                <w:lang w:val="en-GB"/>
              </w:rPr>
              <w:br/>
              <w:t>Stoneworks (UK) Ltd</w:t>
            </w:r>
          </w:p>
          <w:p w:rsidR="005D2325" w:rsidRPr="00106F09" w:rsidRDefault="00106F09" w:rsidP="005D2325">
            <w:pPr>
              <w:spacing w:after="0"/>
              <w:rPr>
                <w:rFonts w:ascii="Arial" w:hAnsi="Arial" w:cs="Arial"/>
                <w:sz w:val="20"/>
                <w:lang w:val="en-GB"/>
              </w:rPr>
            </w:pPr>
            <w:r w:rsidRPr="00106F09">
              <w:rPr>
                <w:rFonts w:ascii="Arial" w:hAnsi="Arial" w:cs="Arial"/>
                <w:sz w:val="20"/>
                <w:lang w:val="en-GB"/>
              </w:rPr>
              <w:t>42 Colville Road</w:t>
            </w:r>
          </w:p>
          <w:p w:rsidR="005D2325" w:rsidRPr="00106F09" w:rsidRDefault="00106F09" w:rsidP="005D2325">
            <w:pPr>
              <w:spacing w:after="0"/>
              <w:rPr>
                <w:rFonts w:ascii="Arial" w:hAnsi="Arial" w:cs="Arial"/>
                <w:sz w:val="20"/>
                <w:lang w:val="en-GB"/>
              </w:rPr>
            </w:pPr>
            <w:r w:rsidRPr="00106F09">
              <w:rPr>
                <w:rFonts w:ascii="Arial" w:hAnsi="Arial" w:cs="Arial"/>
                <w:sz w:val="20"/>
                <w:lang w:val="en-GB"/>
              </w:rPr>
              <w:t>South Acton Trading Estate</w:t>
            </w:r>
          </w:p>
          <w:p w:rsidR="005D2325" w:rsidRPr="00106F09" w:rsidRDefault="00106F09" w:rsidP="005D2325">
            <w:pPr>
              <w:spacing w:after="0"/>
              <w:rPr>
                <w:rFonts w:ascii="Arial" w:hAnsi="Arial" w:cs="Arial"/>
                <w:sz w:val="20"/>
                <w:lang w:val="en-GB"/>
              </w:rPr>
            </w:pPr>
            <w:r w:rsidRPr="00106F09">
              <w:rPr>
                <w:rFonts w:ascii="Arial" w:hAnsi="Arial" w:cs="Arial"/>
                <w:sz w:val="20"/>
                <w:lang w:val="en-GB"/>
              </w:rPr>
              <w:t>Acton</w:t>
            </w:r>
          </w:p>
          <w:p w:rsidR="005D2325" w:rsidRPr="00106F09" w:rsidRDefault="00106F09" w:rsidP="005D2325">
            <w:pPr>
              <w:spacing w:after="0"/>
              <w:rPr>
                <w:rFonts w:ascii="Arial" w:hAnsi="Arial" w:cs="Arial"/>
                <w:sz w:val="20"/>
                <w:lang w:val="en-GB"/>
              </w:rPr>
            </w:pPr>
            <w:r w:rsidRPr="00106F09">
              <w:rPr>
                <w:rFonts w:ascii="Arial" w:hAnsi="Arial" w:cs="Arial"/>
                <w:sz w:val="20"/>
                <w:lang w:val="en-GB"/>
              </w:rPr>
              <w:t>W3 8BL</w:t>
            </w:r>
          </w:p>
          <w:p w:rsidR="005D2325" w:rsidRPr="00106F09" w:rsidRDefault="006E2F92" w:rsidP="005D2325">
            <w:pPr>
              <w:spacing w:after="0"/>
              <w:rPr>
                <w:rFonts w:ascii="Arial" w:hAnsi="Arial" w:cs="Arial"/>
                <w:b/>
                <w:sz w:val="20"/>
                <w:lang w:val="en-GB" w:eastAsia="en-US"/>
              </w:rPr>
            </w:pPr>
          </w:p>
        </w:tc>
      </w:tr>
      <w:tr w:rsidR="00054089" w:rsidRPr="00106F09" w:rsidTr="00106F09">
        <w:tc>
          <w:tcPr>
            <w:tcW w:w="10185" w:type="dxa"/>
            <w:gridSpan w:val="2"/>
          </w:tcPr>
          <w:p w:rsidR="005D2325" w:rsidRPr="00106F09" w:rsidRDefault="006E2F92" w:rsidP="00106F09">
            <w:pPr>
              <w:spacing w:after="0"/>
              <w:rPr>
                <w:rFonts w:ascii="Arial" w:hAnsi="Arial" w:cs="Arial"/>
                <w:sz w:val="20"/>
                <w:lang w:val="en-GB" w:eastAsia="en-US"/>
              </w:rPr>
            </w:pPr>
          </w:p>
          <w:p w:rsidR="005D2325" w:rsidRPr="00106F09" w:rsidRDefault="006E2F92" w:rsidP="00106F09">
            <w:pPr>
              <w:spacing w:after="0"/>
              <w:rPr>
                <w:rFonts w:ascii="Arial" w:hAnsi="Arial" w:cs="Arial"/>
                <w:sz w:val="20"/>
                <w:lang w:val="en-GB"/>
              </w:rPr>
            </w:pPr>
          </w:p>
          <w:p w:rsidR="005D2325" w:rsidRPr="00106F09" w:rsidRDefault="006E2F92" w:rsidP="00106F09">
            <w:pPr>
              <w:spacing w:after="0"/>
              <w:rPr>
                <w:rFonts w:ascii="Arial" w:hAnsi="Arial" w:cs="Arial"/>
                <w:sz w:val="20"/>
                <w:lang w:val="en-GB"/>
              </w:rPr>
            </w:pPr>
          </w:p>
          <w:p w:rsidR="005D2325" w:rsidRPr="00106F09" w:rsidRDefault="006E2F92" w:rsidP="00106F09">
            <w:pPr>
              <w:spacing w:after="0"/>
              <w:rPr>
                <w:rFonts w:ascii="Arial" w:hAnsi="Arial" w:cs="Arial"/>
                <w:sz w:val="20"/>
                <w:lang w:val="en-GB"/>
              </w:rPr>
            </w:pPr>
          </w:p>
          <w:p w:rsidR="005D2325" w:rsidRPr="00106F09" w:rsidRDefault="006E2F92" w:rsidP="00106F09">
            <w:pPr>
              <w:spacing w:after="0"/>
              <w:rPr>
                <w:rFonts w:ascii="Arial" w:hAnsi="Arial" w:cs="Arial"/>
                <w:sz w:val="20"/>
                <w:lang w:val="en-GB"/>
              </w:rPr>
            </w:pPr>
          </w:p>
          <w:p w:rsidR="005D2325" w:rsidRPr="00106F09" w:rsidRDefault="00106F09" w:rsidP="00106F09">
            <w:pPr>
              <w:spacing w:after="0"/>
              <w:rPr>
                <w:rFonts w:ascii="Arial" w:hAnsi="Arial" w:cs="Arial"/>
                <w:sz w:val="20"/>
                <w:lang w:val="en-GB" w:eastAsia="en-US"/>
              </w:rPr>
            </w:pPr>
            <w:r w:rsidRPr="00106F09">
              <w:rPr>
                <w:rFonts w:ascii="Arial" w:hAnsi="Arial" w:cs="Arial"/>
                <w:sz w:val="20"/>
                <w:lang w:val="en-GB"/>
              </w:rPr>
              <w:t>Dear Eddie and Richard</w:t>
            </w:r>
          </w:p>
        </w:tc>
      </w:tr>
      <w:tr w:rsidR="00054089" w:rsidRPr="00106F09" w:rsidTr="00106F09">
        <w:tc>
          <w:tcPr>
            <w:tcW w:w="10185" w:type="dxa"/>
            <w:gridSpan w:val="2"/>
          </w:tcPr>
          <w:p w:rsidR="005D2325" w:rsidRPr="00106F09" w:rsidRDefault="006E2F92" w:rsidP="00106F09">
            <w:pPr>
              <w:spacing w:after="0"/>
              <w:rPr>
                <w:rFonts w:ascii="Arial" w:hAnsi="Arial" w:cs="Arial"/>
                <w:sz w:val="20"/>
                <w:lang w:val="en-GB" w:eastAsia="en-US"/>
              </w:rPr>
            </w:pPr>
          </w:p>
        </w:tc>
      </w:tr>
      <w:tr w:rsidR="00054089" w:rsidRPr="00106F09" w:rsidTr="00106F09">
        <w:tc>
          <w:tcPr>
            <w:tcW w:w="10185" w:type="dxa"/>
            <w:gridSpan w:val="2"/>
            <w:hideMark/>
          </w:tcPr>
          <w:p w:rsidR="005D2325" w:rsidRPr="00106F09" w:rsidRDefault="00106F09" w:rsidP="00106F09">
            <w:pPr>
              <w:spacing w:after="0"/>
              <w:rPr>
                <w:rFonts w:ascii="Arial" w:hAnsi="Arial" w:cs="Arial"/>
                <w:b/>
                <w:sz w:val="20"/>
                <w:szCs w:val="20"/>
                <w:u w:val="single"/>
                <w:lang w:val="en-GB"/>
              </w:rPr>
            </w:pPr>
            <w:r w:rsidRPr="00106F09">
              <w:rPr>
                <w:rFonts w:ascii="Arial" w:hAnsi="Arial" w:cs="Arial"/>
                <w:b/>
                <w:sz w:val="20"/>
                <w:szCs w:val="20"/>
                <w:u w:val="single"/>
                <w:lang w:val="en-GB"/>
              </w:rPr>
              <w:t>Business Valuation - Stoneworks (UK) Limited</w:t>
            </w:r>
            <w:r w:rsidRPr="00106F09">
              <w:rPr>
                <w:rFonts w:ascii="Arial" w:hAnsi="Arial" w:cs="Arial"/>
                <w:b/>
                <w:sz w:val="20"/>
                <w:szCs w:val="20"/>
                <w:u w:val="single"/>
                <w:lang w:val="en-GB"/>
              </w:rPr>
              <w:br/>
            </w:r>
          </w:p>
          <w:p w:rsidR="00106F09" w:rsidRPr="00106F09" w:rsidRDefault="00106F09" w:rsidP="00106F09">
            <w:pPr>
              <w:spacing w:after="0"/>
              <w:rPr>
                <w:rFonts w:ascii="Arial" w:hAnsi="Arial" w:cs="Arial"/>
                <w:b/>
                <w:sz w:val="20"/>
                <w:szCs w:val="20"/>
                <w:u w:val="single"/>
                <w:lang w:val="en-GB"/>
              </w:rPr>
            </w:pP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In accordance with your recent instructions, I enclose indicative valuations of the company trading as Stoneworks (UK) Limited, for the business in its entirety.</w:t>
            </w: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The purpose of the valuations is to enable the value of the business to be ascertained for indicative valuation purposes only.</w:t>
            </w: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 xml:space="preserve">As I believe you are aware, there are 4 common methodologies of valuing shares in a Company.  </w:t>
            </w:r>
          </w:p>
          <w:p w:rsidR="00106F09" w:rsidRPr="00106F09" w:rsidRDefault="00106F09" w:rsidP="00106F09">
            <w:pPr>
              <w:numPr>
                <w:ilvl w:val="0"/>
                <w:numId w:val="1"/>
              </w:numPr>
              <w:spacing w:after="0"/>
              <w:ind w:right="438"/>
              <w:rPr>
                <w:rFonts w:ascii="Arial" w:hAnsi="Arial" w:cs="Arial"/>
                <w:sz w:val="20"/>
                <w:szCs w:val="20"/>
                <w:lang w:val="en-GB"/>
              </w:rPr>
            </w:pPr>
            <w:r w:rsidRPr="00106F09">
              <w:rPr>
                <w:rFonts w:ascii="Arial" w:hAnsi="Arial" w:cs="Arial"/>
                <w:sz w:val="20"/>
                <w:szCs w:val="20"/>
                <w:lang w:val="en-GB"/>
              </w:rPr>
              <w:t>The Assets Basis</w:t>
            </w:r>
          </w:p>
          <w:p w:rsidR="00106F09" w:rsidRPr="00106F09" w:rsidRDefault="00106F09" w:rsidP="00106F09">
            <w:pPr>
              <w:numPr>
                <w:ilvl w:val="0"/>
                <w:numId w:val="1"/>
              </w:numPr>
              <w:spacing w:after="0"/>
              <w:ind w:right="438"/>
              <w:rPr>
                <w:rFonts w:ascii="Arial" w:hAnsi="Arial" w:cs="Arial"/>
                <w:sz w:val="20"/>
                <w:szCs w:val="20"/>
                <w:lang w:val="en-GB"/>
              </w:rPr>
            </w:pPr>
            <w:r w:rsidRPr="00106F09">
              <w:rPr>
                <w:rFonts w:ascii="Arial" w:hAnsi="Arial" w:cs="Arial"/>
                <w:sz w:val="20"/>
                <w:szCs w:val="20"/>
                <w:lang w:val="en-GB"/>
              </w:rPr>
              <w:t>The Earnings Basis</w:t>
            </w:r>
          </w:p>
          <w:p w:rsidR="00106F09" w:rsidRPr="00106F09" w:rsidRDefault="00106F09" w:rsidP="00106F09">
            <w:pPr>
              <w:numPr>
                <w:ilvl w:val="0"/>
                <w:numId w:val="1"/>
              </w:numPr>
              <w:spacing w:after="0"/>
              <w:ind w:right="438"/>
              <w:rPr>
                <w:rFonts w:ascii="Arial" w:hAnsi="Arial" w:cs="Arial"/>
                <w:sz w:val="20"/>
                <w:szCs w:val="20"/>
                <w:lang w:val="en-GB"/>
              </w:rPr>
            </w:pPr>
            <w:r w:rsidRPr="00106F09">
              <w:rPr>
                <w:rFonts w:ascii="Arial" w:hAnsi="Arial" w:cs="Arial"/>
                <w:sz w:val="20"/>
                <w:szCs w:val="20"/>
                <w:lang w:val="en-GB"/>
              </w:rPr>
              <w:t>The Dividend Basis</w:t>
            </w:r>
          </w:p>
          <w:p w:rsidR="00106F09" w:rsidRPr="00106F09" w:rsidRDefault="00106F09" w:rsidP="00106F09">
            <w:pPr>
              <w:numPr>
                <w:ilvl w:val="0"/>
                <w:numId w:val="1"/>
              </w:numPr>
              <w:spacing w:after="0"/>
              <w:ind w:right="438"/>
              <w:rPr>
                <w:rFonts w:ascii="Arial" w:hAnsi="Arial" w:cs="Arial"/>
                <w:sz w:val="20"/>
                <w:szCs w:val="20"/>
                <w:lang w:val="en-GB"/>
              </w:rPr>
            </w:pPr>
            <w:r w:rsidRPr="00106F09">
              <w:rPr>
                <w:rFonts w:ascii="Arial" w:hAnsi="Arial" w:cs="Arial"/>
                <w:sz w:val="20"/>
                <w:szCs w:val="20"/>
                <w:lang w:val="en-GB"/>
              </w:rPr>
              <w:t>Discounted Cash flow</w:t>
            </w:r>
          </w:p>
          <w:p w:rsidR="00106F09" w:rsidRPr="00106F09" w:rsidRDefault="00106F09" w:rsidP="00106F09">
            <w:pPr>
              <w:ind w:right="438"/>
              <w:rPr>
                <w:rFonts w:ascii="Arial" w:hAnsi="Arial" w:cs="Arial"/>
                <w:sz w:val="20"/>
                <w:szCs w:val="20"/>
                <w:lang w:val="en-GB"/>
              </w:rPr>
            </w:pPr>
          </w:p>
          <w:p w:rsidR="00106F09" w:rsidRPr="00106F09" w:rsidRDefault="00106F09" w:rsidP="00106F09">
            <w:pPr>
              <w:ind w:right="438"/>
              <w:rPr>
                <w:rFonts w:ascii="Arial" w:hAnsi="Arial" w:cs="Arial"/>
                <w:b/>
                <w:i/>
                <w:sz w:val="20"/>
                <w:szCs w:val="20"/>
                <w:lang w:val="en-GB"/>
              </w:rPr>
            </w:pPr>
            <w:r w:rsidRPr="00106F09">
              <w:rPr>
                <w:rFonts w:ascii="Arial" w:hAnsi="Arial" w:cs="Arial"/>
                <w:b/>
                <w:i/>
                <w:sz w:val="20"/>
                <w:szCs w:val="20"/>
                <w:lang w:val="en-GB"/>
              </w:rPr>
              <w:t>The Assets Basis</w:t>
            </w: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The value of the net assets based upon the balance sheet of the management accounts at 30 June 2013 is as follows:-</w:t>
            </w:r>
          </w:p>
          <w:p w:rsidR="00106F09" w:rsidRPr="00106F09" w:rsidRDefault="00106F09" w:rsidP="00106F09">
            <w:pPr>
              <w:ind w:right="438"/>
              <w:rPr>
                <w:rFonts w:ascii="Arial" w:hAnsi="Arial" w:cs="Arial"/>
                <w:b/>
                <w:sz w:val="20"/>
                <w:szCs w:val="20"/>
                <w:lang w:val="en-GB"/>
              </w:rPr>
            </w:pPr>
            <w:r w:rsidRPr="00106F09">
              <w:rPr>
                <w:rFonts w:ascii="Arial" w:hAnsi="Arial" w:cs="Arial"/>
                <w:b/>
                <w:sz w:val="20"/>
                <w:szCs w:val="20"/>
                <w:lang w:val="en-GB"/>
              </w:rPr>
              <w:tab/>
            </w:r>
            <w:r>
              <w:rPr>
                <w:rFonts w:ascii="Arial" w:hAnsi="Arial" w:cs="Arial"/>
                <w:b/>
                <w:sz w:val="20"/>
                <w:szCs w:val="20"/>
                <w:lang w:val="en-GB"/>
              </w:rPr>
              <w:t xml:space="preserve">                                         </w:t>
            </w:r>
            <w:r w:rsidRPr="00106F09">
              <w:rPr>
                <w:rFonts w:ascii="Arial" w:hAnsi="Arial" w:cs="Arial"/>
                <w:b/>
                <w:sz w:val="20"/>
                <w:szCs w:val="20"/>
                <w:lang w:val="en-GB"/>
              </w:rPr>
              <w:t>£</w:t>
            </w:r>
          </w:p>
          <w:p w:rsidR="00106F09" w:rsidRPr="00106F09" w:rsidRDefault="00106F09" w:rsidP="00106F09">
            <w:pPr>
              <w:tabs>
                <w:tab w:val="decimal" w:pos="601"/>
              </w:tabs>
              <w:ind w:right="438"/>
              <w:rPr>
                <w:rFonts w:ascii="Arial" w:hAnsi="Arial" w:cs="Arial"/>
                <w:sz w:val="20"/>
                <w:szCs w:val="20"/>
                <w:lang w:val="en-GB"/>
              </w:rPr>
            </w:pPr>
            <w:r w:rsidRPr="00106F09">
              <w:rPr>
                <w:rFonts w:ascii="Arial" w:hAnsi="Arial" w:cs="Arial"/>
                <w:sz w:val="20"/>
                <w:szCs w:val="20"/>
                <w:lang w:val="en-GB"/>
              </w:rPr>
              <w:t>Business</w:t>
            </w:r>
            <w:r w:rsidRPr="00106F09">
              <w:rPr>
                <w:rFonts w:ascii="Arial" w:hAnsi="Arial" w:cs="Arial"/>
                <w:sz w:val="20"/>
                <w:szCs w:val="20"/>
                <w:lang w:val="en-GB"/>
              </w:rPr>
              <w:tab/>
            </w:r>
            <w:r>
              <w:rPr>
                <w:rFonts w:ascii="Arial" w:hAnsi="Arial" w:cs="Arial"/>
                <w:sz w:val="20"/>
                <w:szCs w:val="20"/>
                <w:lang w:val="en-GB"/>
              </w:rPr>
              <w:t xml:space="preserve">                        </w:t>
            </w:r>
            <w:r w:rsidRPr="00106F09">
              <w:rPr>
                <w:rFonts w:ascii="Arial" w:hAnsi="Arial" w:cs="Arial"/>
                <w:sz w:val="20"/>
                <w:szCs w:val="20"/>
                <w:lang w:val="en-GB"/>
              </w:rPr>
              <w:t>18,127</w:t>
            </w:r>
          </w:p>
          <w:p w:rsidR="00106F09" w:rsidRPr="00106F09" w:rsidRDefault="00106F09" w:rsidP="00106F09">
            <w:pPr>
              <w:tabs>
                <w:tab w:val="decimal" w:pos="3600"/>
              </w:tabs>
              <w:ind w:right="438"/>
              <w:rPr>
                <w:rFonts w:ascii="Arial" w:hAnsi="Arial" w:cs="Arial"/>
                <w:sz w:val="20"/>
                <w:szCs w:val="20"/>
                <w:lang w:val="en-GB"/>
              </w:rPr>
            </w:pPr>
            <w:r w:rsidRPr="00106F09">
              <w:rPr>
                <w:rFonts w:ascii="Arial" w:hAnsi="Arial" w:cs="Arial"/>
                <w:sz w:val="20"/>
                <w:szCs w:val="20"/>
                <w:lang w:val="en-GB"/>
              </w:rPr>
              <w:tab/>
            </w:r>
          </w:p>
          <w:p w:rsidR="00106F09" w:rsidRPr="00106F09" w:rsidRDefault="00106F09" w:rsidP="00106F09">
            <w:pPr>
              <w:tabs>
                <w:tab w:val="decimal" w:pos="3600"/>
              </w:tabs>
              <w:ind w:right="438"/>
              <w:rPr>
                <w:rFonts w:ascii="Arial" w:hAnsi="Arial" w:cs="Arial"/>
                <w:sz w:val="20"/>
                <w:szCs w:val="20"/>
                <w:lang w:val="en-GB"/>
              </w:rPr>
            </w:pPr>
            <w:r w:rsidRPr="00106F09">
              <w:rPr>
                <w:rFonts w:ascii="Arial" w:hAnsi="Arial" w:cs="Arial"/>
                <w:sz w:val="20"/>
                <w:szCs w:val="20"/>
                <w:lang w:val="en-GB"/>
              </w:rPr>
              <w:t>I wouldn’t anticipate that this would change significantly to the current date from discussions with you, although I haven’t seen any management information to confirm this.</w:t>
            </w:r>
          </w:p>
          <w:p w:rsidR="00106F09" w:rsidRPr="00106F09" w:rsidRDefault="00106F09" w:rsidP="00106F09">
            <w:pPr>
              <w:tabs>
                <w:tab w:val="decimal" w:pos="3600"/>
              </w:tabs>
              <w:ind w:right="438"/>
              <w:rPr>
                <w:rFonts w:ascii="Arial" w:hAnsi="Arial" w:cs="Arial"/>
                <w:sz w:val="20"/>
                <w:szCs w:val="20"/>
                <w:lang w:val="en-GB"/>
              </w:rPr>
            </w:pPr>
            <w:r w:rsidRPr="00106F09">
              <w:rPr>
                <w:rFonts w:ascii="Arial" w:hAnsi="Arial" w:cs="Arial"/>
                <w:sz w:val="20"/>
                <w:szCs w:val="20"/>
                <w:lang w:val="en-GB"/>
              </w:rPr>
              <w:t xml:space="preserve">No adjustments have been made to any of the assets or valuations carried out of the fixed assets or investments which may be different from the carrying amount contained within the financial statements.  Presently the accounting policy is to include fixed assets at cost less depreciation/diminution in value. </w:t>
            </w:r>
          </w:p>
          <w:p w:rsidR="00106F09" w:rsidRPr="00106F09" w:rsidRDefault="00106F09" w:rsidP="00106F09">
            <w:pPr>
              <w:rPr>
                <w:rFonts w:ascii="Arial" w:hAnsi="Arial" w:cs="Arial"/>
                <w:sz w:val="20"/>
                <w:szCs w:val="20"/>
                <w:lang w:val="en-GB"/>
              </w:rPr>
            </w:pPr>
            <w:r w:rsidRPr="00106F09">
              <w:rPr>
                <w:rFonts w:ascii="Arial" w:hAnsi="Arial" w:cs="Arial"/>
                <w:sz w:val="20"/>
                <w:szCs w:val="20"/>
                <w:lang w:val="en-GB"/>
              </w:rPr>
              <w:br w:type="page"/>
            </w:r>
          </w:p>
          <w:p w:rsidR="00106F09" w:rsidRPr="00106F09" w:rsidRDefault="00106F09" w:rsidP="00106F09">
            <w:pPr>
              <w:rPr>
                <w:rFonts w:ascii="Arial" w:hAnsi="Arial" w:cs="Arial"/>
                <w:sz w:val="20"/>
                <w:szCs w:val="20"/>
                <w:lang w:val="en-GB"/>
              </w:rPr>
            </w:pPr>
          </w:p>
          <w:p w:rsidR="00106F09" w:rsidRPr="00106F09" w:rsidRDefault="00106F09" w:rsidP="00106F09">
            <w:pPr>
              <w:tabs>
                <w:tab w:val="decimal" w:pos="0"/>
              </w:tabs>
              <w:ind w:right="438"/>
              <w:rPr>
                <w:rFonts w:ascii="Arial" w:hAnsi="Arial" w:cs="Arial"/>
                <w:sz w:val="20"/>
                <w:szCs w:val="20"/>
                <w:lang w:val="en-GB"/>
              </w:rPr>
            </w:pPr>
          </w:p>
          <w:p w:rsidR="00106F09" w:rsidRPr="00106F09" w:rsidRDefault="00106F09" w:rsidP="00106F09">
            <w:pPr>
              <w:tabs>
                <w:tab w:val="decimal" w:pos="0"/>
              </w:tabs>
              <w:ind w:right="438"/>
              <w:rPr>
                <w:rFonts w:ascii="Arial" w:hAnsi="Arial" w:cs="Arial"/>
                <w:b/>
                <w:i/>
                <w:sz w:val="20"/>
                <w:szCs w:val="20"/>
                <w:lang w:val="en-GB"/>
              </w:rPr>
            </w:pPr>
            <w:r w:rsidRPr="00106F09">
              <w:rPr>
                <w:rFonts w:ascii="Arial" w:hAnsi="Arial" w:cs="Arial"/>
                <w:b/>
                <w:i/>
                <w:sz w:val="20"/>
                <w:szCs w:val="20"/>
                <w:lang w:val="en-GB"/>
              </w:rPr>
              <w:lastRenderedPageBreak/>
              <w:t>The Earnings Basis</w:t>
            </w:r>
          </w:p>
          <w:p w:rsidR="00106F09" w:rsidRPr="00106F09" w:rsidRDefault="00106F09" w:rsidP="00106F09">
            <w:pPr>
              <w:tabs>
                <w:tab w:val="decimal" w:pos="0"/>
                <w:tab w:val="decimal" w:pos="3600"/>
              </w:tabs>
              <w:ind w:right="438"/>
              <w:rPr>
                <w:rFonts w:ascii="Arial" w:hAnsi="Arial" w:cs="Arial"/>
                <w:sz w:val="20"/>
                <w:szCs w:val="20"/>
                <w:lang w:val="en-GB"/>
              </w:rPr>
            </w:pPr>
            <w:r w:rsidRPr="00106F09">
              <w:rPr>
                <w:rFonts w:ascii="Arial" w:hAnsi="Arial" w:cs="Arial"/>
                <w:sz w:val="20"/>
                <w:szCs w:val="20"/>
                <w:lang w:val="en-GB"/>
              </w:rPr>
              <w:t>The earnings based method involves valuing a business by capitalising its future maintainable profits.  Maintainable profits are the level of profits the business could expect to generate after adjustment for non-recurring or exceptional items and including commercial charges where appropriate.</w:t>
            </w:r>
          </w:p>
          <w:p w:rsidR="00106F09" w:rsidRPr="00106F09" w:rsidRDefault="00106F09" w:rsidP="00106F09">
            <w:pPr>
              <w:tabs>
                <w:tab w:val="decimal" w:pos="0"/>
                <w:tab w:val="decimal" w:pos="3600"/>
              </w:tabs>
              <w:ind w:right="438"/>
              <w:rPr>
                <w:rFonts w:ascii="Arial" w:hAnsi="Arial" w:cs="Arial"/>
                <w:sz w:val="20"/>
                <w:szCs w:val="20"/>
                <w:lang w:val="en-GB"/>
              </w:rPr>
            </w:pPr>
            <w:r w:rsidRPr="00106F09">
              <w:rPr>
                <w:rFonts w:ascii="Arial" w:hAnsi="Arial" w:cs="Arial"/>
                <w:sz w:val="20"/>
                <w:szCs w:val="20"/>
                <w:lang w:val="en-GB"/>
              </w:rPr>
              <w:t>Following on from conversations with you both, you will see from the calculations the main adjustments relate to market rate salaries for you and an adjustment for estimated exceptional expenditure within the expenditure that wouldn’t necessarily be there if the company was run purely to maximise profitability.  These are subjective adjustments</w:t>
            </w:r>
          </w:p>
          <w:p w:rsidR="00106F09" w:rsidRPr="00106F09" w:rsidRDefault="00106F09" w:rsidP="00106F09">
            <w:pPr>
              <w:tabs>
                <w:tab w:val="decimal" w:pos="0"/>
                <w:tab w:val="decimal" w:pos="3600"/>
              </w:tabs>
              <w:ind w:right="438"/>
              <w:rPr>
                <w:rFonts w:ascii="Arial" w:hAnsi="Arial" w:cs="Arial"/>
                <w:sz w:val="20"/>
                <w:szCs w:val="20"/>
                <w:lang w:val="en-GB"/>
              </w:rPr>
            </w:pPr>
            <w:r w:rsidRPr="00106F09">
              <w:rPr>
                <w:rFonts w:ascii="Arial" w:hAnsi="Arial" w:cs="Arial"/>
                <w:sz w:val="20"/>
                <w:szCs w:val="20"/>
                <w:lang w:val="en-GB"/>
              </w:rPr>
              <w:t>There is no set formula for determining maintainable profits.  However, a weighted average is commonly used and this is what has been used in arriving at the valuation in this report.  The weightings are applied to reflect the relevance of the results to the likely future position.</w:t>
            </w:r>
          </w:p>
          <w:p w:rsidR="00106F09" w:rsidRPr="00106F09" w:rsidRDefault="00106F09" w:rsidP="00106F09">
            <w:pPr>
              <w:tabs>
                <w:tab w:val="decimal" w:pos="0"/>
                <w:tab w:val="decimal" w:pos="3600"/>
              </w:tabs>
              <w:ind w:right="438"/>
              <w:rPr>
                <w:rFonts w:ascii="Arial" w:hAnsi="Arial" w:cs="Arial"/>
                <w:sz w:val="20"/>
                <w:szCs w:val="20"/>
                <w:lang w:val="en-GB"/>
              </w:rPr>
            </w:pPr>
            <w:r w:rsidRPr="00106F09">
              <w:rPr>
                <w:rFonts w:ascii="Arial" w:hAnsi="Arial" w:cs="Arial"/>
                <w:sz w:val="20"/>
                <w:szCs w:val="20"/>
                <w:lang w:val="en-GB"/>
              </w:rPr>
              <w:t>A deduction for Corporation Tax is then made at the full rate of 23% since the majority of companies included in the FTSE all share index will be paying tax at the full rate.</w:t>
            </w:r>
          </w:p>
          <w:p w:rsidR="00106F09" w:rsidRPr="00106F09" w:rsidRDefault="00106F09" w:rsidP="00106F09">
            <w:pPr>
              <w:tabs>
                <w:tab w:val="decimal" w:pos="0"/>
              </w:tabs>
              <w:ind w:right="438"/>
              <w:rPr>
                <w:rFonts w:ascii="Arial" w:hAnsi="Arial" w:cs="Arial"/>
                <w:sz w:val="20"/>
                <w:szCs w:val="20"/>
                <w:lang w:val="en-GB"/>
              </w:rPr>
            </w:pPr>
            <w:r w:rsidRPr="00106F09">
              <w:rPr>
                <w:rFonts w:ascii="Arial" w:hAnsi="Arial" w:cs="Arial"/>
                <w:sz w:val="20"/>
                <w:szCs w:val="20"/>
                <w:lang w:val="en-GB"/>
              </w:rPr>
              <w:t>To arrive at a figure for capitalisation of profits, a multiple of profits needs to be used to establish how many times the annual profits the purchaser will be willing to pay for the business and assets producing that level of annual profit.</w:t>
            </w:r>
          </w:p>
          <w:p w:rsidR="00106F09" w:rsidRPr="00106F09" w:rsidRDefault="00106F09" w:rsidP="00106F09">
            <w:pPr>
              <w:tabs>
                <w:tab w:val="decimal" w:pos="0"/>
              </w:tabs>
              <w:ind w:right="438"/>
              <w:rPr>
                <w:rFonts w:ascii="Arial" w:hAnsi="Arial" w:cs="Arial"/>
                <w:sz w:val="20"/>
                <w:szCs w:val="20"/>
                <w:lang w:val="en-GB"/>
              </w:rPr>
            </w:pPr>
            <w:r w:rsidRPr="00106F09">
              <w:rPr>
                <w:rFonts w:ascii="Arial" w:hAnsi="Arial" w:cs="Arial"/>
                <w:sz w:val="20"/>
                <w:szCs w:val="20"/>
                <w:lang w:val="en-GB"/>
              </w:rPr>
              <w:t>The multiple has been based on the Price Earnings Ratio (P/E) from the FTSE All Share Index as at 19 February 2014. We have adjusted this P/E multiple to reflect the lack of marketability of a privately owned company’s shares and the restrictions on freedom to market the shares.  We have assumed a discount rate of 50% as in our opinion and due to the current economic conditions this is appropriate for companies of this size.</w:t>
            </w:r>
          </w:p>
          <w:p w:rsidR="00106F09" w:rsidRPr="00106F09" w:rsidRDefault="00106F09" w:rsidP="00106F09">
            <w:pPr>
              <w:tabs>
                <w:tab w:val="decimal" w:pos="0"/>
                <w:tab w:val="decimal" w:pos="3600"/>
              </w:tabs>
              <w:ind w:right="438"/>
              <w:rPr>
                <w:rFonts w:ascii="Arial" w:hAnsi="Arial" w:cs="Arial"/>
                <w:sz w:val="20"/>
                <w:szCs w:val="20"/>
                <w:lang w:val="en-GB"/>
              </w:rPr>
            </w:pPr>
            <w:r w:rsidRPr="00106F09">
              <w:rPr>
                <w:rFonts w:ascii="Arial" w:hAnsi="Arial" w:cs="Arial"/>
                <w:sz w:val="20"/>
                <w:szCs w:val="20"/>
                <w:lang w:val="en-GB"/>
              </w:rPr>
              <w:t>A su</w:t>
            </w:r>
            <w:r>
              <w:rPr>
                <w:rFonts w:ascii="Arial" w:hAnsi="Arial" w:cs="Arial"/>
                <w:sz w:val="20"/>
                <w:szCs w:val="20"/>
                <w:lang w:val="en-GB"/>
              </w:rPr>
              <w:t>mmary of this is set out below:-</w:t>
            </w:r>
          </w:p>
          <w:p w:rsidR="00106F09" w:rsidRPr="00106F09" w:rsidRDefault="00106F09" w:rsidP="00106F09">
            <w:pPr>
              <w:tabs>
                <w:tab w:val="decimal" w:pos="3600"/>
              </w:tabs>
              <w:ind w:right="438"/>
              <w:rPr>
                <w:rFonts w:ascii="Arial" w:hAnsi="Arial" w:cs="Arial"/>
                <w:sz w:val="20"/>
                <w:szCs w:val="20"/>
                <w:lang w:val="en-GB"/>
              </w:rPr>
            </w:pPr>
          </w:p>
          <w:tbl>
            <w:tblPr>
              <w:tblStyle w:val="TableGrid"/>
              <w:tblW w:w="0" w:type="auto"/>
              <w:tblInd w:w="108" w:type="dxa"/>
              <w:tblLayout w:type="fixed"/>
              <w:tblLook w:val="04A0" w:firstRow="1" w:lastRow="0" w:firstColumn="1" w:lastColumn="0" w:noHBand="0" w:noVBand="1"/>
            </w:tblPr>
            <w:tblGrid>
              <w:gridCol w:w="2274"/>
              <w:gridCol w:w="2382"/>
              <w:gridCol w:w="2383"/>
              <w:gridCol w:w="2383"/>
            </w:tblGrid>
            <w:tr w:rsidR="00106F09" w:rsidRPr="00106F09" w:rsidTr="002F1B19">
              <w:tc>
                <w:tcPr>
                  <w:tcW w:w="2274" w:type="dxa"/>
                  <w:shd w:val="clear" w:color="auto" w:fill="F2F2F2" w:themeFill="background1" w:themeFillShade="F2"/>
                  <w:vAlign w:val="center"/>
                </w:tcPr>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Weighted Average PBT £</w:t>
                  </w:r>
                </w:p>
              </w:tc>
              <w:tc>
                <w:tcPr>
                  <w:tcW w:w="2382" w:type="dxa"/>
                  <w:shd w:val="clear" w:color="auto" w:fill="F2F2F2" w:themeFill="background1" w:themeFillShade="F2"/>
                  <w:vAlign w:val="center"/>
                </w:tcPr>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Post Tax Profit</w:t>
                  </w:r>
                </w:p>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w:t>
                  </w:r>
                </w:p>
              </w:tc>
              <w:tc>
                <w:tcPr>
                  <w:tcW w:w="2383" w:type="dxa"/>
                  <w:shd w:val="clear" w:color="auto" w:fill="F2F2F2" w:themeFill="background1" w:themeFillShade="F2"/>
                  <w:vAlign w:val="center"/>
                </w:tcPr>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Discounted P/E</w:t>
                  </w:r>
                </w:p>
              </w:tc>
              <w:tc>
                <w:tcPr>
                  <w:tcW w:w="2383" w:type="dxa"/>
                  <w:shd w:val="clear" w:color="auto" w:fill="F2F2F2" w:themeFill="background1" w:themeFillShade="F2"/>
                  <w:vAlign w:val="center"/>
                </w:tcPr>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Enterprise Value</w:t>
                  </w:r>
                </w:p>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w:t>
                  </w:r>
                </w:p>
              </w:tc>
            </w:tr>
            <w:tr w:rsidR="00106F09" w:rsidRPr="00106F09" w:rsidTr="002F1B19">
              <w:trPr>
                <w:trHeight w:val="440"/>
              </w:trPr>
              <w:tc>
                <w:tcPr>
                  <w:tcW w:w="2274" w:type="dxa"/>
                  <w:vAlign w:val="center"/>
                </w:tcPr>
                <w:p w:rsidR="00106F09" w:rsidRPr="00106F09" w:rsidRDefault="00106F09" w:rsidP="00106F09">
                  <w:pPr>
                    <w:tabs>
                      <w:tab w:val="decimal" w:pos="1350"/>
                    </w:tabs>
                    <w:ind w:right="438"/>
                    <w:rPr>
                      <w:rFonts w:ascii="Arial" w:hAnsi="Arial" w:cs="Arial"/>
                      <w:sz w:val="20"/>
                      <w:szCs w:val="20"/>
                      <w:lang w:val="en-GB"/>
                    </w:rPr>
                  </w:pPr>
                  <w:r w:rsidRPr="00106F09">
                    <w:rPr>
                      <w:rFonts w:ascii="Arial" w:hAnsi="Arial" w:cs="Arial"/>
                      <w:sz w:val="20"/>
                      <w:szCs w:val="20"/>
                      <w:lang w:val="en-GB"/>
                    </w:rPr>
                    <w:t xml:space="preserve"> 25,303</w:t>
                  </w:r>
                </w:p>
              </w:tc>
              <w:tc>
                <w:tcPr>
                  <w:tcW w:w="2382" w:type="dxa"/>
                  <w:vAlign w:val="center"/>
                </w:tcPr>
                <w:p w:rsidR="00106F09" w:rsidRPr="00106F09" w:rsidRDefault="00106F09" w:rsidP="00106F09">
                  <w:pPr>
                    <w:tabs>
                      <w:tab w:val="decimal" w:pos="1398"/>
                    </w:tabs>
                    <w:ind w:right="438"/>
                    <w:rPr>
                      <w:rFonts w:ascii="Arial" w:hAnsi="Arial" w:cs="Arial"/>
                      <w:sz w:val="20"/>
                      <w:szCs w:val="20"/>
                      <w:lang w:val="en-GB"/>
                    </w:rPr>
                  </w:pPr>
                  <w:r w:rsidRPr="00106F09">
                    <w:rPr>
                      <w:rFonts w:ascii="Arial" w:hAnsi="Arial" w:cs="Arial"/>
                      <w:sz w:val="20"/>
                      <w:szCs w:val="20"/>
                      <w:lang w:val="en-GB"/>
                    </w:rPr>
                    <w:t>19,483</w:t>
                  </w:r>
                </w:p>
              </w:tc>
              <w:tc>
                <w:tcPr>
                  <w:tcW w:w="2383" w:type="dxa"/>
                  <w:vAlign w:val="center"/>
                </w:tcPr>
                <w:p w:rsidR="00106F09" w:rsidRPr="00106F09" w:rsidRDefault="00106F09" w:rsidP="00106F09">
                  <w:pPr>
                    <w:tabs>
                      <w:tab w:val="decimal" w:pos="1026"/>
                    </w:tabs>
                    <w:ind w:right="438"/>
                    <w:rPr>
                      <w:rFonts w:ascii="Arial" w:hAnsi="Arial" w:cs="Arial"/>
                      <w:sz w:val="20"/>
                      <w:szCs w:val="20"/>
                      <w:lang w:val="en-GB"/>
                    </w:rPr>
                  </w:pPr>
                  <w:r w:rsidRPr="00106F09">
                    <w:rPr>
                      <w:rFonts w:ascii="Arial" w:hAnsi="Arial" w:cs="Arial"/>
                      <w:sz w:val="20"/>
                      <w:szCs w:val="20"/>
                      <w:lang w:val="en-GB"/>
                    </w:rPr>
                    <w:t>7.265</w:t>
                  </w:r>
                </w:p>
              </w:tc>
              <w:tc>
                <w:tcPr>
                  <w:tcW w:w="2383" w:type="dxa"/>
                  <w:vAlign w:val="center"/>
                </w:tcPr>
                <w:p w:rsidR="00106F09" w:rsidRPr="00106F09" w:rsidRDefault="00106F09" w:rsidP="00106F09">
                  <w:pPr>
                    <w:tabs>
                      <w:tab w:val="decimal" w:pos="1313"/>
                    </w:tabs>
                    <w:ind w:right="438"/>
                    <w:rPr>
                      <w:rFonts w:ascii="Arial" w:hAnsi="Arial" w:cs="Arial"/>
                      <w:sz w:val="20"/>
                      <w:szCs w:val="20"/>
                      <w:lang w:val="en-GB"/>
                    </w:rPr>
                  </w:pPr>
                  <w:r w:rsidRPr="00106F09">
                    <w:rPr>
                      <w:rFonts w:ascii="Arial" w:hAnsi="Arial" w:cs="Arial"/>
                      <w:sz w:val="20"/>
                      <w:szCs w:val="20"/>
                      <w:lang w:val="en-GB"/>
                    </w:rPr>
                    <w:t>141,544</w:t>
                  </w:r>
                </w:p>
              </w:tc>
            </w:tr>
          </w:tbl>
          <w:p w:rsidR="00106F09" w:rsidRPr="00106F09" w:rsidRDefault="00106F09" w:rsidP="00106F09">
            <w:pPr>
              <w:ind w:right="438"/>
              <w:rPr>
                <w:rFonts w:ascii="Arial" w:hAnsi="Arial" w:cs="Arial"/>
                <w:sz w:val="20"/>
                <w:szCs w:val="20"/>
                <w:lang w:val="en-GB"/>
              </w:rPr>
            </w:pP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In order to arrive at the equity value, an adjustment is required for any surplus cash or borrowings of the Company.  From our discussions and review of the accounting records indicates that there is no surplus cash in the Company as set out in the following table:</w:t>
            </w:r>
            <w:r>
              <w:rPr>
                <w:rFonts w:ascii="Arial" w:hAnsi="Arial" w:cs="Arial"/>
                <w:sz w:val="20"/>
                <w:szCs w:val="20"/>
                <w:lang w:val="en-GB"/>
              </w:rPr>
              <w:t>-</w:t>
            </w:r>
          </w:p>
          <w:p w:rsidR="00106F09" w:rsidRPr="00106F09" w:rsidRDefault="00106F09" w:rsidP="00106F09">
            <w:pPr>
              <w:ind w:right="438"/>
              <w:rPr>
                <w:rFonts w:ascii="Arial" w:hAnsi="Arial" w:cs="Arial"/>
                <w:sz w:val="20"/>
                <w:szCs w:val="20"/>
                <w:lang w:val="en-GB"/>
              </w:rPr>
            </w:pPr>
          </w:p>
          <w:tbl>
            <w:tblPr>
              <w:tblStyle w:val="TableGrid"/>
              <w:tblW w:w="0" w:type="auto"/>
              <w:tblInd w:w="108" w:type="dxa"/>
              <w:tblLayout w:type="fixed"/>
              <w:tblLook w:val="04A0" w:firstRow="1" w:lastRow="0" w:firstColumn="1" w:lastColumn="0" w:noHBand="0" w:noVBand="1"/>
            </w:tblPr>
            <w:tblGrid>
              <w:gridCol w:w="2274"/>
              <w:gridCol w:w="2382"/>
              <w:gridCol w:w="2383"/>
            </w:tblGrid>
            <w:tr w:rsidR="00106F09" w:rsidRPr="00106F09" w:rsidTr="002F1B19">
              <w:tc>
                <w:tcPr>
                  <w:tcW w:w="2274" w:type="dxa"/>
                  <w:shd w:val="clear" w:color="auto" w:fill="F2F2F2" w:themeFill="background1" w:themeFillShade="F2"/>
                  <w:vAlign w:val="center"/>
                </w:tcPr>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Enterprise Value</w:t>
                  </w:r>
                </w:p>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 xml:space="preserve"> £</w:t>
                  </w:r>
                </w:p>
              </w:tc>
              <w:tc>
                <w:tcPr>
                  <w:tcW w:w="2382" w:type="dxa"/>
                  <w:shd w:val="clear" w:color="auto" w:fill="F2F2F2" w:themeFill="background1" w:themeFillShade="F2"/>
                  <w:vAlign w:val="center"/>
                </w:tcPr>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Surplus Cash</w:t>
                  </w:r>
                </w:p>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w:t>
                  </w:r>
                </w:p>
              </w:tc>
              <w:tc>
                <w:tcPr>
                  <w:tcW w:w="2383" w:type="dxa"/>
                  <w:shd w:val="clear" w:color="auto" w:fill="F2F2F2" w:themeFill="background1" w:themeFillShade="F2"/>
                  <w:vAlign w:val="center"/>
                </w:tcPr>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Equity Value</w:t>
                  </w:r>
                </w:p>
                <w:p w:rsidR="00106F09" w:rsidRPr="00106F09" w:rsidRDefault="00106F09" w:rsidP="00106F09">
                  <w:pPr>
                    <w:ind w:right="438"/>
                    <w:jc w:val="center"/>
                    <w:rPr>
                      <w:rFonts w:ascii="Arial" w:hAnsi="Arial" w:cs="Arial"/>
                      <w:b/>
                      <w:sz w:val="20"/>
                      <w:szCs w:val="20"/>
                      <w:lang w:val="en-GB"/>
                    </w:rPr>
                  </w:pPr>
                  <w:r w:rsidRPr="00106F09">
                    <w:rPr>
                      <w:rFonts w:ascii="Arial" w:hAnsi="Arial" w:cs="Arial"/>
                      <w:b/>
                      <w:sz w:val="20"/>
                      <w:szCs w:val="20"/>
                      <w:lang w:val="en-GB"/>
                    </w:rPr>
                    <w:t>£</w:t>
                  </w:r>
                </w:p>
              </w:tc>
            </w:tr>
            <w:tr w:rsidR="00106F09" w:rsidRPr="00106F09" w:rsidTr="002F1B19">
              <w:trPr>
                <w:trHeight w:val="440"/>
              </w:trPr>
              <w:tc>
                <w:tcPr>
                  <w:tcW w:w="2274" w:type="dxa"/>
                  <w:vAlign w:val="center"/>
                </w:tcPr>
                <w:p w:rsidR="00106F09" w:rsidRPr="00106F09" w:rsidRDefault="00106F09" w:rsidP="00106F09">
                  <w:pPr>
                    <w:tabs>
                      <w:tab w:val="decimal" w:pos="1350"/>
                    </w:tabs>
                    <w:ind w:right="438"/>
                    <w:rPr>
                      <w:rFonts w:ascii="Arial" w:hAnsi="Arial" w:cs="Arial"/>
                      <w:sz w:val="20"/>
                      <w:szCs w:val="20"/>
                      <w:lang w:val="en-GB"/>
                    </w:rPr>
                  </w:pPr>
                  <w:r w:rsidRPr="00106F09">
                    <w:rPr>
                      <w:rFonts w:ascii="Arial" w:hAnsi="Arial" w:cs="Arial"/>
                      <w:sz w:val="20"/>
                      <w:szCs w:val="20"/>
                      <w:lang w:val="en-GB"/>
                    </w:rPr>
                    <w:t>141,544</w:t>
                  </w:r>
                </w:p>
              </w:tc>
              <w:tc>
                <w:tcPr>
                  <w:tcW w:w="2382" w:type="dxa"/>
                  <w:vAlign w:val="center"/>
                </w:tcPr>
                <w:p w:rsidR="00106F09" w:rsidRPr="00106F09" w:rsidRDefault="00106F09" w:rsidP="00106F09">
                  <w:pPr>
                    <w:tabs>
                      <w:tab w:val="decimal" w:pos="1398"/>
                    </w:tabs>
                    <w:ind w:right="438"/>
                    <w:rPr>
                      <w:rFonts w:ascii="Arial" w:hAnsi="Arial" w:cs="Arial"/>
                      <w:sz w:val="20"/>
                      <w:szCs w:val="20"/>
                      <w:lang w:val="en-GB"/>
                    </w:rPr>
                  </w:pPr>
                  <w:r w:rsidRPr="00106F09">
                    <w:rPr>
                      <w:rFonts w:ascii="Arial" w:hAnsi="Arial" w:cs="Arial"/>
                      <w:sz w:val="20"/>
                      <w:szCs w:val="20"/>
                      <w:lang w:val="en-GB"/>
                    </w:rPr>
                    <w:t>-</w:t>
                  </w:r>
                </w:p>
              </w:tc>
              <w:tc>
                <w:tcPr>
                  <w:tcW w:w="2383" w:type="dxa"/>
                  <w:vAlign w:val="center"/>
                </w:tcPr>
                <w:p w:rsidR="00106F09" w:rsidRPr="00106F09" w:rsidRDefault="00106F09" w:rsidP="00106F09">
                  <w:pPr>
                    <w:tabs>
                      <w:tab w:val="decimal" w:pos="1356"/>
                    </w:tabs>
                    <w:ind w:right="438"/>
                    <w:rPr>
                      <w:rFonts w:ascii="Arial" w:hAnsi="Arial" w:cs="Arial"/>
                      <w:sz w:val="20"/>
                      <w:szCs w:val="20"/>
                      <w:lang w:val="en-GB"/>
                    </w:rPr>
                  </w:pPr>
                  <w:r w:rsidRPr="00106F09">
                    <w:rPr>
                      <w:rFonts w:ascii="Arial" w:hAnsi="Arial" w:cs="Arial"/>
                      <w:sz w:val="20"/>
                      <w:szCs w:val="20"/>
                      <w:lang w:val="en-GB"/>
                    </w:rPr>
                    <w:t>141,544</w:t>
                  </w:r>
                </w:p>
              </w:tc>
            </w:tr>
          </w:tbl>
          <w:p w:rsidR="00106F09" w:rsidRPr="00106F09" w:rsidRDefault="00106F09" w:rsidP="00106F09">
            <w:pPr>
              <w:ind w:right="438"/>
              <w:rPr>
                <w:rFonts w:ascii="Arial" w:hAnsi="Arial" w:cs="Arial"/>
                <w:sz w:val="20"/>
                <w:szCs w:val="20"/>
                <w:lang w:val="en-GB"/>
              </w:rPr>
            </w:pPr>
          </w:p>
          <w:p w:rsidR="00106F09" w:rsidRPr="00106F09" w:rsidRDefault="00106F09" w:rsidP="00106F09">
            <w:pPr>
              <w:ind w:right="438"/>
              <w:rPr>
                <w:rFonts w:ascii="Arial" w:hAnsi="Arial" w:cs="Arial"/>
                <w:b/>
                <w:i/>
                <w:sz w:val="20"/>
                <w:szCs w:val="20"/>
                <w:lang w:val="en-GB"/>
              </w:rPr>
            </w:pPr>
            <w:r w:rsidRPr="00106F09">
              <w:rPr>
                <w:rFonts w:ascii="Arial" w:hAnsi="Arial" w:cs="Arial"/>
                <w:b/>
                <w:i/>
                <w:sz w:val="20"/>
                <w:szCs w:val="20"/>
                <w:lang w:val="en-GB"/>
              </w:rPr>
              <w:t>The Dividends Basis</w:t>
            </w: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The dividends basis of valuation is generally adopted where the only practical benefits of owning the shareholding is in the rights to receive dividends from the annual profits of the Company.  Therefore this is not considered an appropriate basis.</w:t>
            </w:r>
          </w:p>
          <w:p w:rsidR="00106F09" w:rsidRPr="00106F09" w:rsidRDefault="00106F09" w:rsidP="00106F09">
            <w:pPr>
              <w:ind w:right="438"/>
              <w:rPr>
                <w:rFonts w:ascii="Arial" w:hAnsi="Arial" w:cs="Arial"/>
                <w:b/>
                <w:i/>
                <w:sz w:val="20"/>
                <w:szCs w:val="20"/>
                <w:lang w:val="en-GB"/>
              </w:rPr>
            </w:pPr>
            <w:r w:rsidRPr="00106F09">
              <w:rPr>
                <w:rFonts w:ascii="Arial" w:hAnsi="Arial" w:cs="Arial"/>
                <w:b/>
                <w:i/>
                <w:sz w:val="20"/>
                <w:szCs w:val="20"/>
                <w:lang w:val="en-GB"/>
              </w:rPr>
              <w:t>The Discounted Cash flow Basis</w:t>
            </w: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The discounted cash flow (DCF) approach is used to find out the present value of the future cash flows arising from the use of the working assets.</w:t>
            </w: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 xml:space="preserve">DCF offers a system to estimate future cash flows where there is no satisfactory history or experience of </w:t>
            </w:r>
            <w:r w:rsidRPr="00106F09">
              <w:rPr>
                <w:rFonts w:ascii="Arial" w:hAnsi="Arial" w:cs="Arial"/>
                <w:sz w:val="20"/>
                <w:szCs w:val="20"/>
                <w:lang w:val="en-GB"/>
              </w:rPr>
              <w:lastRenderedPageBreak/>
              <w:t>earnings, or where the earnings will necessarily be the product of a long term project.  DCF may be particularly appropriate in valuing new technology companies start-ups and unique operations or projects and preferably to those of a size that relate to large scale economies.  Therefore this methodology is not considered appropriate.</w:t>
            </w:r>
            <w:r w:rsidRPr="00106F09">
              <w:rPr>
                <w:rFonts w:ascii="Arial" w:hAnsi="Arial" w:cs="Arial"/>
                <w:sz w:val="20"/>
                <w:szCs w:val="20"/>
                <w:lang w:val="en-GB"/>
              </w:rPr>
              <w:br w:type="page"/>
            </w:r>
          </w:p>
          <w:p w:rsidR="00106F09" w:rsidRPr="00106F09" w:rsidRDefault="00106F09" w:rsidP="00106F09">
            <w:pPr>
              <w:tabs>
                <w:tab w:val="left" w:pos="8823"/>
              </w:tabs>
              <w:ind w:right="438"/>
              <w:rPr>
                <w:rFonts w:ascii="Arial" w:hAnsi="Arial" w:cs="Arial"/>
                <w:b/>
                <w:i/>
                <w:sz w:val="20"/>
                <w:szCs w:val="20"/>
                <w:lang w:val="en-GB"/>
              </w:rPr>
            </w:pPr>
            <w:r w:rsidRPr="00106F09">
              <w:rPr>
                <w:rFonts w:ascii="Arial" w:hAnsi="Arial" w:cs="Arial"/>
                <w:b/>
                <w:i/>
                <w:sz w:val="20"/>
                <w:szCs w:val="20"/>
                <w:lang w:val="en-GB"/>
              </w:rPr>
              <w:t>Conclusion</w:t>
            </w:r>
          </w:p>
          <w:p w:rsidR="00106F09" w:rsidRPr="00106F09" w:rsidRDefault="00106F09" w:rsidP="00106F09">
            <w:pPr>
              <w:rPr>
                <w:rFonts w:ascii="Arial" w:hAnsi="Arial" w:cs="Arial"/>
                <w:sz w:val="20"/>
                <w:szCs w:val="20"/>
                <w:lang w:val="en-GB"/>
              </w:rPr>
            </w:pPr>
            <w:r w:rsidRPr="00106F09">
              <w:rPr>
                <w:rFonts w:ascii="Arial" w:hAnsi="Arial" w:cs="Arial"/>
                <w:sz w:val="20"/>
                <w:szCs w:val="20"/>
                <w:lang w:val="en-GB"/>
              </w:rPr>
              <w:t>In line with the instructions that we received:</w:t>
            </w:r>
          </w:p>
          <w:p w:rsidR="00106F09" w:rsidRPr="00106F09" w:rsidRDefault="00106F09" w:rsidP="00106F09">
            <w:pPr>
              <w:pStyle w:val="ListParagraph"/>
              <w:numPr>
                <w:ilvl w:val="0"/>
                <w:numId w:val="2"/>
              </w:numPr>
              <w:ind w:right="438"/>
              <w:rPr>
                <w:rFonts w:cs="Arial"/>
                <w:szCs w:val="20"/>
              </w:rPr>
            </w:pPr>
            <w:r w:rsidRPr="00106F09">
              <w:rPr>
                <w:rFonts w:cs="Arial"/>
                <w:szCs w:val="20"/>
              </w:rPr>
              <w:t>We consider that in view of the profitability of the business and as is the case for most small and medium sized trading companies the most appropriate basis of valuation is a capitalisation of the profits i.e. the earnings basis. The earnings basis gives a fair market value of the goodwill of the business in the region of £115,000 to £140,000.</w:t>
            </w:r>
          </w:p>
          <w:p w:rsidR="00106F09" w:rsidRPr="00106F09" w:rsidRDefault="00106F09" w:rsidP="00106F09">
            <w:pPr>
              <w:ind w:right="438"/>
              <w:rPr>
                <w:rFonts w:ascii="Arial" w:hAnsi="Arial" w:cs="Arial"/>
                <w:sz w:val="20"/>
                <w:szCs w:val="20"/>
                <w:lang w:val="en-GB"/>
              </w:rPr>
            </w:pPr>
          </w:p>
          <w:p w:rsidR="00106F09" w:rsidRPr="00106F09" w:rsidRDefault="00106F09" w:rsidP="00106F09">
            <w:pPr>
              <w:ind w:right="438"/>
              <w:rPr>
                <w:rFonts w:ascii="Arial" w:hAnsi="Arial" w:cs="Arial"/>
                <w:b/>
                <w:sz w:val="20"/>
                <w:szCs w:val="20"/>
                <w:u w:val="single"/>
                <w:lang w:val="en-GB"/>
              </w:rPr>
            </w:pPr>
            <w:r w:rsidRPr="00106F09">
              <w:rPr>
                <w:rFonts w:ascii="Arial" w:hAnsi="Arial" w:cs="Arial"/>
                <w:b/>
                <w:sz w:val="20"/>
                <w:szCs w:val="20"/>
                <w:u w:val="single"/>
                <w:lang w:val="en-GB"/>
              </w:rPr>
              <w:t>Important Notice</w:t>
            </w: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This valuation has been drawn up from information and explanations provided by yourself either directly or via discussions.  Work carried out on your behalf has been limited to compiling the valuation from the information provided and presented in the appropriate manner.  You remain solely responsible for factual accuracy of information and assumptions provided for the valuation.</w:t>
            </w: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Whilst care has been taken to translate the information and explanation provided into a meaningful valuation, we cannot accept any responsibility for any loss occasioned to any person acting or refraining from actions as a result of any material or statements included in, or admitted from, the valuation.</w:t>
            </w: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You understand that our work does not constitute an audit of the figures and information in the valuation and we will not express any opinion thereon.</w:t>
            </w:r>
          </w:p>
          <w:p w:rsidR="00106F09" w:rsidRPr="00106F09" w:rsidRDefault="00106F09" w:rsidP="00106F09">
            <w:pPr>
              <w:ind w:right="438"/>
              <w:rPr>
                <w:rFonts w:ascii="Arial" w:hAnsi="Arial" w:cs="Arial"/>
                <w:sz w:val="20"/>
                <w:szCs w:val="20"/>
                <w:lang w:val="en-GB"/>
              </w:rPr>
            </w:pPr>
            <w:r w:rsidRPr="00106F09">
              <w:rPr>
                <w:rFonts w:ascii="Arial" w:hAnsi="Arial" w:cs="Arial"/>
                <w:sz w:val="20"/>
                <w:szCs w:val="20"/>
                <w:lang w:val="en-GB"/>
              </w:rPr>
              <w:t>I will be pleased to discuss the content of this letter with you.  If you are satisfied with our workings and method of valuations, I should be grateful if you would sign and return a copy of this letter to me for inclusion in our files.</w:t>
            </w:r>
          </w:p>
          <w:p w:rsidR="00106F09" w:rsidRPr="00106F09" w:rsidRDefault="00106F09" w:rsidP="00106F09">
            <w:pPr>
              <w:spacing w:after="0"/>
              <w:rPr>
                <w:rFonts w:ascii="Arial" w:hAnsi="Arial" w:cs="Arial"/>
                <w:sz w:val="20"/>
                <w:szCs w:val="20"/>
                <w:u w:val="single"/>
                <w:lang w:val="en-GB" w:eastAsia="en-US"/>
              </w:rPr>
            </w:pPr>
          </w:p>
        </w:tc>
      </w:tr>
      <w:tr w:rsidR="00054089" w:rsidRPr="00106F09" w:rsidTr="00106F09">
        <w:tc>
          <w:tcPr>
            <w:tcW w:w="10185" w:type="dxa"/>
            <w:gridSpan w:val="2"/>
          </w:tcPr>
          <w:p w:rsidR="005D2325" w:rsidRPr="00106F09" w:rsidRDefault="006E2F92" w:rsidP="00106F09">
            <w:pPr>
              <w:spacing w:after="0"/>
              <w:rPr>
                <w:rFonts w:ascii="Arial" w:hAnsi="Arial" w:cs="Arial"/>
                <w:sz w:val="20"/>
                <w:lang w:val="en-GB" w:eastAsia="en-US"/>
              </w:rPr>
            </w:pPr>
          </w:p>
        </w:tc>
      </w:tr>
      <w:tr w:rsidR="00054089" w:rsidRPr="00106F09" w:rsidTr="00106F09">
        <w:trPr>
          <w:gridAfter w:val="1"/>
          <w:wAfter w:w="5451" w:type="dxa"/>
          <w:trHeight w:val="244"/>
        </w:trPr>
        <w:tc>
          <w:tcPr>
            <w:tcW w:w="4734" w:type="dxa"/>
          </w:tcPr>
          <w:p w:rsidR="005D2325" w:rsidRPr="00106F09" w:rsidRDefault="006E2F92" w:rsidP="00106F09">
            <w:pPr>
              <w:spacing w:after="0"/>
              <w:rPr>
                <w:rFonts w:ascii="Arial" w:hAnsi="Arial" w:cs="Arial"/>
                <w:sz w:val="20"/>
                <w:lang w:val="en-GB" w:eastAsia="en-US"/>
              </w:rPr>
            </w:pPr>
          </w:p>
        </w:tc>
      </w:tr>
      <w:tr w:rsidR="00054089" w:rsidRPr="00106F09" w:rsidTr="00106F09">
        <w:trPr>
          <w:gridAfter w:val="1"/>
          <w:wAfter w:w="5451" w:type="dxa"/>
          <w:trHeight w:val="228"/>
        </w:trPr>
        <w:tc>
          <w:tcPr>
            <w:tcW w:w="4734" w:type="dxa"/>
            <w:hideMark/>
          </w:tcPr>
          <w:p w:rsidR="005D2325" w:rsidRPr="00106F09" w:rsidRDefault="00106F09" w:rsidP="005D2325">
            <w:pPr>
              <w:spacing w:after="0"/>
              <w:rPr>
                <w:rFonts w:ascii="Arial" w:hAnsi="Arial" w:cs="Arial"/>
                <w:sz w:val="20"/>
                <w:lang w:val="en-GB" w:eastAsia="en-US"/>
              </w:rPr>
            </w:pPr>
            <w:r w:rsidRPr="00106F09">
              <w:rPr>
                <w:rFonts w:ascii="Arial" w:hAnsi="Arial" w:cs="Arial"/>
                <w:sz w:val="20"/>
                <w:lang w:val="en-GB"/>
              </w:rPr>
              <w:t>Yours sincerely</w:t>
            </w:r>
          </w:p>
        </w:tc>
      </w:tr>
      <w:tr w:rsidR="00054089" w:rsidRPr="00106F09" w:rsidTr="00106F09">
        <w:trPr>
          <w:gridAfter w:val="1"/>
          <w:wAfter w:w="5451" w:type="dxa"/>
          <w:trHeight w:val="1172"/>
        </w:trPr>
        <w:tc>
          <w:tcPr>
            <w:tcW w:w="4734" w:type="dxa"/>
          </w:tcPr>
          <w:p w:rsidR="005D2325" w:rsidRPr="00106F09" w:rsidRDefault="006E2F92" w:rsidP="005D2325">
            <w:pPr>
              <w:spacing w:after="0"/>
              <w:rPr>
                <w:rFonts w:ascii="Arial" w:hAnsi="Arial" w:cs="Arial"/>
                <w:sz w:val="20"/>
                <w:lang w:val="en-GB" w:eastAsia="en-US"/>
              </w:rPr>
            </w:pPr>
          </w:p>
          <w:p w:rsidR="005D2325" w:rsidRPr="00106F09" w:rsidRDefault="00106F09" w:rsidP="005D2325">
            <w:pPr>
              <w:spacing w:after="0"/>
              <w:rPr>
                <w:rFonts w:ascii="Arial" w:hAnsi="Arial" w:cs="Arial"/>
                <w:sz w:val="20"/>
                <w:lang w:val="en-GB"/>
              </w:rPr>
            </w:pPr>
            <w:r w:rsidRPr="00106F09">
              <w:rPr>
                <w:rFonts w:ascii="Arial" w:hAnsi="Arial" w:cs="Arial"/>
                <w:noProof/>
                <w:sz w:val="20"/>
                <w:lang w:val="en-GB" w:eastAsia="en-GB"/>
              </w:rPr>
              <w:drawing>
                <wp:inline distT="0" distB="0" distL="0" distR="0" wp14:anchorId="70C47207" wp14:editId="3B577326">
                  <wp:extent cx="857250" cy="489342"/>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Roger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569" cy="492378"/>
                          </a:xfrm>
                          <a:prstGeom prst="rect">
                            <a:avLst/>
                          </a:prstGeom>
                        </pic:spPr>
                      </pic:pic>
                    </a:graphicData>
                  </a:graphic>
                </wp:inline>
              </w:drawing>
            </w:r>
          </w:p>
          <w:p w:rsidR="005D2325" w:rsidRPr="00106F09" w:rsidRDefault="006E2F92" w:rsidP="005D2325">
            <w:pPr>
              <w:spacing w:after="0"/>
              <w:rPr>
                <w:rFonts w:ascii="Arial" w:hAnsi="Arial" w:cs="Arial"/>
                <w:sz w:val="20"/>
                <w:lang w:val="en-GB" w:eastAsia="en-US"/>
              </w:rPr>
            </w:pPr>
          </w:p>
        </w:tc>
      </w:tr>
      <w:tr w:rsidR="00054089" w:rsidRPr="00106F09" w:rsidTr="00106F09">
        <w:trPr>
          <w:gridAfter w:val="1"/>
          <w:wAfter w:w="5451" w:type="dxa"/>
          <w:trHeight w:val="457"/>
        </w:trPr>
        <w:tc>
          <w:tcPr>
            <w:tcW w:w="4734" w:type="dxa"/>
            <w:hideMark/>
          </w:tcPr>
          <w:p w:rsidR="005D2325" w:rsidRPr="00106F09" w:rsidRDefault="00106F09" w:rsidP="005D2325">
            <w:pPr>
              <w:spacing w:after="0"/>
              <w:rPr>
                <w:rFonts w:ascii="Arial" w:hAnsi="Arial" w:cs="Arial"/>
                <w:b/>
                <w:sz w:val="20"/>
                <w:lang w:val="en-GB" w:eastAsia="en-US"/>
              </w:rPr>
            </w:pPr>
            <w:r w:rsidRPr="00106F09">
              <w:rPr>
                <w:rFonts w:ascii="Arial" w:hAnsi="Arial" w:cs="Arial"/>
                <w:b/>
                <w:sz w:val="20"/>
                <w:lang w:val="en-GB"/>
              </w:rPr>
              <w:t xml:space="preserve">Mark Rogers </w:t>
            </w:r>
          </w:p>
          <w:sdt>
            <w:sdtPr>
              <w:rPr>
                <w:rFonts w:ascii="Arial" w:hAnsi="Arial" w:cs="Arial"/>
                <w:sz w:val="20"/>
                <w:lang w:val="en-GB"/>
              </w:rPr>
              <w:id w:val="1309578055"/>
              <w:placeholder>
                <w:docPart w:val="4CF872B4B98745B781DEABD2DB2662CE"/>
              </w:placeholder>
              <w:dropDownList>
                <w:listItem w:displayText=" " w:value=" "/>
                <w:listItem w:displayText="Director" w:value="Director"/>
                <w:listItem w:displayText="Senior Client Manager" w:value="Senior Client Manager"/>
                <w:listItem w:displayText="Client Manager" w:value="Client Manager"/>
                <w:listItem w:displayText="Senior Tax Manager" w:value="Senior Tax Manager"/>
                <w:listItem w:displayText="Tax Manager" w:value="Tax Manager"/>
                <w:listItem w:displayText="Tax Senior" w:value="Tax Senior"/>
                <w:listItem w:displayText="Assistant Manager" w:value="Assistant Manager"/>
                <w:listItem w:displayText="Accounts Senior" w:value="Accounts Senior"/>
                <w:listItem w:displayText="Payroll Supervisor" w:value="Payroll Supervisor"/>
                <w:listItem w:displayText="Payroll Administrator" w:value="Payroll Administrator"/>
              </w:dropDownList>
            </w:sdtPr>
            <w:sdtEndPr/>
            <w:sdtContent>
              <w:p w:rsidR="005D2325" w:rsidRPr="00106F09" w:rsidRDefault="00106F09" w:rsidP="005D2325">
                <w:pPr>
                  <w:spacing w:after="0"/>
                  <w:rPr>
                    <w:rFonts w:ascii="Arial" w:hAnsi="Arial" w:cs="Arial"/>
                    <w:sz w:val="20"/>
                    <w:lang w:val="en-GB" w:eastAsia="en-US"/>
                  </w:rPr>
                </w:pPr>
                <w:r w:rsidRPr="00106F09">
                  <w:rPr>
                    <w:rFonts w:ascii="Arial" w:hAnsi="Arial" w:cs="Arial"/>
                    <w:sz w:val="20"/>
                    <w:lang w:val="en-GB"/>
                  </w:rPr>
                  <w:t>Director</w:t>
                </w:r>
              </w:p>
            </w:sdtContent>
          </w:sdt>
        </w:tc>
      </w:tr>
    </w:tbl>
    <w:p w:rsidR="005D2325" w:rsidRPr="00106F09" w:rsidRDefault="00106F09" w:rsidP="005D2325">
      <w:pPr>
        <w:spacing w:after="0"/>
        <w:rPr>
          <w:rFonts w:ascii="Arial" w:hAnsi="Arial" w:cs="Arial"/>
          <w:sz w:val="20"/>
          <w:szCs w:val="20"/>
          <w:lang w:val="en-GB" w:eastAsia="en-US"/>
        </w:rPr>
      </w:pPr>
      <w:r w:rsidRPr="00106F09">
        <w:rPr>
          <w:rFonts w:ascii="Arial" w:hAnsi="Arial" w:cs="Arial"/>
          <w:sz w:val="20"/>
          <w:szCs w:val="20"/>
          <w:lang w:val="en-GB" w:eastAsia="en-US"/>
        </w:rPr>
        <w:br/>
      </w:r>
    </w:p>
    <w:p w:rsidR="005D2325" w:rsidRPr="00106F09" w:rsidRDefault="006E2F92" w:rsidP="005D2325">
      <w:pPr>
        <w:spacing w:after="0"/>
        <w:rPr>
          <w:rFonts w:ascii="Arial" w:hAnsi="Arial" w:cs="Arial"/>
          <w:sz w:val="20"/>
          <w:lang w:val="en-GB"/>
        </w:rPr>
      </w:pPr>
    </w:p>
    <w:p w:rsidR="00106F09" w:rsidRPr="00106F09" w:rsidRDefault="00106F09" w:rsidP="00106F09">
      <w:pPr>
        <w:rPr>
          <w:rFonts w:ascii="Arial" w:hAnsi="Arial" w:cs="Arial"/>
          <w:sz w:val="20"/>
          <w:szCs w:val="20"/>
          <w:lang w:val="en-GB"/>
        </w:rPr>
      </w:pPr>
      <w:r w:rsidRPr="00106F09">
        <w:rPr>
          <w:rFonts w:ascii="Arial" w:hAnsi="Arial" w:cs="Arial"/>
          <w:sz w:val="20"/>
          <w:szCs w:val="20"/>
          <w:lang w:val="en-GB"/>
        </w:rPr>
        <w:t xml:space="preserve">  I confirm that I have read and understood the content of this letter.</w:t>
      </w:r>
    </w:p>
    <w:p w:rsidR="00106F09" w:rsidRPr="00106F09" w:rsidRDefault="00106F09" w:rsidP="00106F09">
      <w:pPr>
        <w:rPr>
          <w:rFonts w:ascii="Arial" w:hAnsi="Arial" w:cs="Arial"/>
          <w:sz w:val="20"/>
          <w:szCs w:val="20"/>
          <w:lang w:val="en-GB"/>
        </w:rPr>
      </w:pPr>
    </w:p>
    <w:p w:rsidR="00106F09" w:rsidRPr="00106F09" w:rsidRDefault="00106F09" w:rsidP="00106F09">
      <w:pPr>
        <w:tabs>
          <w:tab w:val="left" w:leader="dot" w:pos="3600"/>
          <w:tab w:val="left" w:pos="5220"/>
          <w:tab w:val="left" w:leader="dot" w:pos="7560"/>
        </w:tabs>
        <w:rPr>
          <w:rFonts w:ascii="Arial" w:hAnsi="Arial" w:cs="Arial"/>
          <w:sz w:val="20"/>
          <w:szCs w:val="20"/>
          <w:lang w:val="en-GB"/>
        </w:rPr>
      </w:pPr>
      <w:r w:rsidRPr="00106F09">
        <w:rPr>
          <w:rFonts w:ascii="Arial" w:hAnsi="Arial" w:cs="Arial"/>
          <w:sz w:val="20"/>
          <w:szCs w:val="20"/>
          <w:lang w:val="en-GB"/>
        </w:rPr>
        <w:t xml:space="preserve">  Signed </w:t>
      </w:r>
      <w:r w:rsidRPr="00106F09">
        <w:rPr>
          <w:rFonts w:ascii="Arial" w:hAnsi="Arial" w:cs="Arial"/>
          <w:sz w:val="20"/>
          <w:szCs w:val="20"/>
          <w:lang w:val="en-GB"/>
        </w:rPr>
        <w:tab/>
      </w:r>
      <w:r w:rsidRPr="00106F09">
        <w:rPr>
          <w:rFonts w:ascii="Arial" w:hAnsi="Arial" w:cs="Arial"/>
          <w:sz w:val="20"/>
          <w:szCs w:val="20"/>
          <w:lang w:val="en-GB"/>
        </w:rPr>
        <w:tab/>
        <w:t xml:space="preserve">Date </w:t>
      </w:r>
      <w:r w:rsidRPr="00106F09">
        <w:rPr>
          <w:rFonts w:ascii="Arial" w:hAnsi="Arial" w:cs="Arial"/>
          <w:sz w:val="20"/>
          <w:szCs w:val="20"/>
          <w:lang w:val="en-GB"/>
        </w:rPr>
        <w:tab/>
      </w:r>
    </w:p>
    <w:p w:rsidR="00106F09" w:rsidRPr="00106F09" w:rsidRDefault="00106F09" w:rsidP="00106F09">
      <w:pPr>
        <w:tabs>
          <w:tab w:val="left" w:leader="dot" w:pos="3600"/>
          <w:tab w:val="left" w:pos="5220"/>
          <w:tab w:val="left" w:leader="dot" w:pos="7560"/>
        </w:tabs>
        <w:ind w:left="630"/>
        <w:rPr>
          <w:rFonts w:ascii="Arial" w:hAnsi="Arial" w:cs="Arial"/>
          <w:sz w:val="20"/>
          <w:szCs w:val="20"/>
          <w:lang w:val="en-GB"/>
        </w:rPr>
      </w:pPr>
      <w:r w:rsidRPr="00106F09">
        <w:rPr>
          <w:rFonts w:ascii="Arial" w:hAnsi="Arial" w:cs="Arial"/>
          <w:sz w:val="20"/>
          <w:szCs w:val="20"/>
          <w:lang w:val="en-GB"/>
        </w:rPr>
        <w:t>E Giddings</w:t>
      </w:r>
      <w:r>
        <w:rPr>
          <w:rFonts w:ascii="Arial" w:hAnsi="Arial" w:cs="Arial"/>
          <w:sz w:val="20"/>
          <w:szCs w:val="20"/>
          <w:lang w:val="en-GB"/>
        </w:rPr>
        <w:br/>
      </w:r>
      <w:r w:rsidRPr="00106F09">
        <w:rPr>
          <w:rFonts w:ascii="Arial" w:hAnsi="Arial" w:cs="Arial"/>
          <w:sz w:val="20"/>
          <w:szCs w:val="20"/>
          <w:lang w:val="en-GB"/>
        </w:rPr>
        <w:br/>
      </w:r>
    </w:p>
    <w:p w:rsidR="00106F09" w:rsidRPr="00106F09" w:rsidRDefault="00106F09" w:rsidP="00106F09">
      <w:pPr>
        <w:tabs>
          <w:tab w:val="left" w:leader="dot" w:pos="3600"/>
          <w:tab w:val="left" w:pos="5220"/>
          <w:tab w:val="left" w:leader="dot" w:pos="7560"/>
        </w:tabs>
        <w:rPr>
          <w:rFonts w:ascii="Arial" w:hAnsi="Arial" w:cs="Arial"/>
          <w:sz w:val="20"/>
          <w:szCs w:val="20"/>
          <w:lang w:val="en-GB"/>
        </w:rPr>
      </w:pPr>
      <w:r w:rsidRPr="00106F09">
        <w:rPr>
          <w:rFonts w:ascii="Arial" w:hAnsi="Arial" w:cs="Arial"/>
          <w:sz w:val="20"/>
          <w:szCs w:val="20"/>
          <w:lang w:val="en-GB"/>
        </w:rPr>
        <w:t xml:space="preserve">  Signed </w:t>
      </w:r>
      <w:r w:rsidRPr="00106F09">
        <w:rPr>
          <w:rFonts w:ascii="Arial" w:hAnsi="Arial" w:cs="Arial"/>
          <w:sz w:val="20"/>
          <w:szCs w:val="20"/>
          <w:lang w:val="en-GB"/>
        </w:rPr>
        <w:tab/>
      </w:r>
      <w:r w:rsidRPr="00106F09">
        <w:rPr>
          <w:rFonts w:ascii="Arial" w:hAnsi="Arial" w:cs="Arial"/>
          <w:sz w:val="20"/>
          <w:szCs w:val="20"/>
          <w:lang w:val="en-GB"/>
        </w:rPr>
        <w:tab/>
        <w:t xml:space="preserve">Date </w:t>
      </w:r>
      <w:r w:rsidRPr="00106F09">
        <w:rPr>
          <w:rFonts w:ascii="Arial" w:hAnsi="Arial" w:cs="Arial"/>
          <w:sz w:val="20"/>
          <w:szCs w:val="20"/>
          <w:lang w:val="en-GB"/>
        </w:rPr>
        <w:tab/>
      </w:r>
    </w:p>
    <w:p w:rsidR="005D2325" w:rsidRPr="00106F09" w:rsidRDefault="00106F09" w:rsidP="00106F09">
      <w:pPr>
        <w:tabs>
          <w:tab w:val="left" w:leader="dot" w:pos="3600"/>
          <w:tab w:val="left" w:pos="5220"/>
          <w:tab w:val="left" w:leader="dot" w:pos="7560"/>
        </w:tabs>
        <w:rPr>
          <w:rFonts w:ascii="Arial" w:hAnsi="Arial" w:cs="Arial"/>
          <w:sz w:val="20"/>
          <w:lang w:val="en-GB"/>
        </w:rPr>
      </w:pPr>
      <w:r w:rsidRPr="00106F09">
        <w:rPr>
          <w:rFonts w:ascii="Arial" w:hAnsi="Arial" w:cs="Arial"/>
          <w:sz w:val="20"/>
          <w:szCs w:val="20"/>
          <w:lang w:val="en-GB"/>
        </w:rPr>
        <w:t xml:space="preserve">           R Giddings</w:t>
      </w:r>
    </w:p>
    <w:sectPr w:rsidR="005D2325" w:rsidRPr="00106F09" w:rsidSect="00112552">
      <w:headerReference w:type="first" r:id="rId10"/>
      <w:pgSz w:w="11900" w:h="16840"/>
      <w:pgMar w:top="1440" w:right="680" w:bottom="1440" w:left="144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D86" w:rsidRDefault="00106F09">
      <w:pPr>
        <w:spacing w:after="0"/>
      </w:pPr>
      <w:r>
        <w:separator/>
      </w:r>
    </w:p>
  </w:endnote>
  <w:endnote w:type="continuationSeparator" w:id="0">
    <w:p w:rsidR="00956D86" w:rsidRDefault="00106F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D86" w:rsidRDefault="00106F09">
      <w:pPr>
        <w:spacing w:after="0"/>
      </w:pPr>
      <w:r>
        <w:separator/>
      </w:r>
    </w:p>
  </w:footnote>
  <w:footnote w:type="continuationSeparator" w:id="0">
    <w:p w:rsidR="00956D86" w:rsidRDefault="00106F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ED" w:rsidRDefault="00106F09">
    <w:pPr>
      <w:pStyle w:val="Header"/>
    </w:pPr>
    <w:r>
      <w:rPr>
        <w:rFonts w:hint="eastAsia"/>
        <w:noProof/>
        <w:lang w:val="en-GB" w:eastAsia="en-GB"/>
      </w:rPr>
      <w:drawing>
        <wp:anchor distT="0" distB="0" distL="114300" distR="114300" simplePos="0" relativeHeight="251658240" behindDoc="1" locked="0" layoutInCell="1" allowOverlap="1">
          <wp:simplePos x="0" y="0"/>
          <wp:positionH relativeFrom="column">
            <wp:posOffset>-847677</wp:posOffset>
          </wp:positionH>
          <wp:positionV relativeFrom="paragraph">
            <wp:posOffset>-294800</wp:posOffset>
          </wp:positionV>
          <wp:extent cx="7556500" cy="1069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s acc letterhead final 2013 colour.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B50"/>
    <w:multiLevelType w:val="hybridMultilevel"/>
    <w:tmpl w:val="4092763A"/>
    <w:lvl w:ilvl="0" w:tplc="D17030F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9861CC"/>
    <w:multiLevelType w:val="hybridMultilevel"/>
    <w:tmpl w:val="CACC75AE"/>
    <w:lvl w:ilvl="0" w:tplc="5A12DA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89"/>
    <w:rsid w:val="00054089"/>
    <w:rsid w:val="000F647C"/>
    <w:rsid w:val="00106F09"/>
    <w:rsid w:val="006E2F92"/>
    <w:rsid w:val="00956D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C6"/>
  </w:style>
  <w:style w:type="paragraph" w:styleId="Heading1">
    <w:name w:val="heading 1"/>
    <w:basedOn w:val="Normal"/>
    <w:next w:val="Normal"/>
    <w:link w:val="Heading1Char"/>
    <w:qFormat/>
    <w:rsid w:val="005D2325"/>
    <w:pPr>
      <w:keepNext/>
      <w:spacing w:after="0"/>
      <w:outlineLvl w:val="0"/>
    </w:pPr>
    <w:rPr>
      <w:rFonts w:ascii="Arial" w:eastAsia="Times New Roman" w:hAnsi="Arial" w:cs="Times New Roman"/>
      <w:b/>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676"/>
    <w:pPr>
      <w:tabs>
        <w:tab w:val="center" w:pos="4320"/>
        <w:tab w:val="right" w:pos="8640"/>
      </w:tabs>
      <w:spacing w:after="0"/>
    </w:pPr>
  </w:style>
  <w:style w:type="character" w:customStyle="1" w:styleId="HeaderChar">
    <w:name w:val="Header Char"/>
    <w:basedOn w:val="DefaultParagraphFont"/>
    <w:link w:val="Header"/>
    <w:uiPriority w:val="99"/>
    <w:rsid w:val="003C0676"/>
  </w:style>
  <w:style w:type="paragraph" w:styleId="Footer">
    <w:name w:val="footer"/>
    <w:basedOn w:val="Normal"/>
    <w:link w:val="FooterChar"/>
    <w:uiPriority w:val="99"/>
    <w:unhideWhenUsed/>
    <w:rsid w:val="003C0676"/>
    <w:pPr>
      <w:tabs>
        <w:tab w:val="center" w:pos="4320"/>
        <w:tab w:val="right" w:pos="8640"/>
      </w:tabs>
      <w:spacing w:after="0"/>
    </w:pPr>
  </w:style>
  <w:style w:type="character" w:customStyle="1" w:styleId="FooterChar">
    <w:name w:val="Footer Char"/>
    <w:basedOn w:val="DefaultParagraphFont"/>
    <w:link w:val="Footer"/>
    <w:uiPriority w:val="99"/>
    <w:rsid w:val="003C0676"/>
  </w:style>
  <w:style w:type="paragraph" w:styleId="BalloonText">
    <w:name w:val="Balloon Text"/>
    <w:basedOn w:val="Normal"/>
    <w:link w:val="BalloonTextChar"/>
    <w:uiPriority w:val="99"/>
    <w:semiHidden/>
    <w:unhideWhenUsed/>
    <w:rsid w:val="003C067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676"/>
    <w:rPr>
      <w:rFonts w:ascii="Lucida Grande" w:hAnsi="Lucida Grande" w:cs="Lucida Grande"/>
      <w:sz w:val="18"/>
      <w:szCs w:val="18"/>
    </w:rPr>
  </w:style>
  <w:style w:type="table" w:styleId="TableGrid">
    <w:name w:val="Table Grid"/>
    <w:basedOn w:val="TableNormal"/>
    <w:rsid w:val="003C067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D2325"/>
    <w:rPr>
      <w:rFonts w:ascii="Arial" w:eastAsia="Times New Roman" w:hAnsi="Arial" w:cs="Times New Roman"/>
      <w:b/>
      <w:sz w:val="20"/>
      <w:szCs w:val="20"/>
      <w:lang w:val="en-GB" w:eastAsia="en-US"/>
    </w:rPr>
  </w:style>
  <w:style w:type="character" w:styleId="PlaceholderText">
    <w:name w:val="Placeholder Text"/>
    <w:basedOn w:val="DefaultParagraphFont"/>
    <w:uiPriority w:val="99"/>
    <w:semiHidden/>
    <w:rsid w:val="005D2325"/>
    <w:rPr>
      <w:color w:val="808080"/>
    </w:rPr>
  </w:style>
  <w:style w:type="paragraph" w:styleId="ListParagraph">
    <w:name w:val="List Paragraph"/>
    <w:basedOn w:val="Normal"/>
    <w:uiPriority w:val="34"/>
    <w:qFormat/>
    <w:rsid w:val="00106F09"/>
    <w:pPr>
      <w:spacing w:after="0"/>
      <w:ind w:left="720"/>
      <w:contextualSpacing/>
    </w:pPr>
    <w:rPr>
      <w:rFonts w:ascii="Arial" w:eastAsia="Times New Roman" w:hAnsi="Arial" w:cs="Times New Roman"/>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C6"/>
  </w:style>
  <w:style w:type="paragraph" w:styleId="Heading1">
    <w:name w:val="heading 1"/>
    <w:basedOn w:val="Normal"/>
    <w:next w:val="Normal"/>
    <w:link w:val="Heading1Char"/>
    <w:qFormat/>
    <w:rsid w:val="005D2325"/>
    <w:pPr>
      <w:keepNext/>
      <w:spacing w:after="0"/>
      <w:outlineLvl w:val="0"/>
    </w:pPr>
    <w:rPr>
      <w:rFonts w:ascii="Arial" w:eastAsia="Times New Roman" w:hAnsi="Arial" w:cs="Times New Roman"/>
      <w:b/>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676"/>
    <w:pPr>
      <w:tabs>
        <w:tab w:val="center" w:pos="4320"/>
        <w:tab w:val="right" w:pos="8640"/>
      </w:tabs>
      <w:spacing w:after="0"/>
    </w:pPr>
  </w:style>
  <w:style w:type="character" w:customStyle="1" w:styleId="HeaderChar">
    <w:name w:val="Header Char"/>
    <w:basedOn w:val="DefaultParagraphFont"/>
    <w:link w:val="Header"/>
    <w:uiPriority w:val="99"/>
    <w:rsid w:val="003C0676"/>
  </w:style>
  <w:style w:type="paragraph" w:styleId="Footer">
    <w:name w:val="footer"/>
    <w:basedOn w:val="Normal"/>
    <w:link w:val="FooterChar"/>
    <w:uiPriority w:val="99"/>
    <w:unhideWhenUsed/>
    <w:rsid w:val="003C0676"/>
    <w:pPr>
      <w:tabs>
        <w:tab w:val="center" w:pos="4320"/>
        <w:tab w:val="right" w:pos="8640"/>
      </w:tabs>
      <w:spacing w:after="0"/>
    </w:pPr>
  </w:style>
  <w:style w:type="character" w:customStyle="1" w:styleId="FooterChar">
    <w:name w:val="Footer Char"/>
    <w:basedOn w:val="DefaultParagraphFont"/>
    <w:link w:val="Footer"/>
    <w:uiPriority w:val="99"/>
    <w:rsid w:val="003C0676"/>
  </w:style>
  <w:style w:type="paragraph" w:styleId="BalloonText">
    <w:name w:val="Balloon Text"/>
    <w:basedOn w:val="Normal"/>
    <w:link w:val="BalloonTextChar"/>
    <w:uiPriority w:val="99"/>
    <w:semiHidden/>
    <w:unhideWhenUsed/>
    <w:rsid w:val="003C067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676"/>
    <w:rPr>
      <w:rFonts w:ascii="Lucida Grande" w:hAnsi="Lucida Grande" w:cs="Lucida Grande"/>
      <w:sz w:val="18"/>
      <w:szCs w:val="18"/>
    </w:rPr>
  </w:style>
  <w:style w:type="table" w:styleId="TableGrid">
    <w:name w:val="Table Grid"/>
    <w:basedOn w:val="TableNormal"/>
    <w:rsid w:val="003C067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D2325"/>
    <w:rPr>
      <w:rFonts w:ascii="Arial" w:eastAsia="Times New Roman" w:hAnsi="Arial" w:cs="Times New Roman"/>
      <w:b/>
      <w:sz w:val="20"/>
      <w:szCs w:val="20"/>
      <w:lang w:val="en-GB" w:eastAsia="en-US"/>
    </w:rPr>
  </w:style>
  <w:style w:type="character" w:styleId="PlaceholderText">
    <w:name w:val="Placeholder Text"/>
    <w:basedOn w:val="DefaultParagraphFont"/>
    <w:uiPriority w:val="99"/>
    <w:semiHidden/>
    <w:rsid w:val="005D2325"/>
    <w:rPr>
      <w:color w:val="808080"/>
    </w:rPr>
  </w:style>
  <w:style w:type="paragraph" w:styleId="ListParagraph">
    <w:name w:val="List Paragraph"/>
    <w:basedOn w:val="Normal"/>
    <w:uiPriority w:val="34"/>
    <w:qFormat/>
    <w:rsid w:val="00106F09"/>
    <w:pPr>
      <w:spacing w:after="0"/>
      <w:ind w:left="720"/>
      <w:contextualSpacing/>
    </w:pPr>
    <w:rPr>
      <w:rFonts w:ascii="Arial" w:eastAsia="Times New Roman" w:hAnsi="Arial"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F872B4B98745B781DEABD2DB2662CE"/>
        <w:category>
          <w:name w:val="General"/>
          <w:gallery w:val="placeholder"/>
        </w:category>
        <w:types>
          <w:type w:val="bbPlcHdr"/>
        </w:types>
        <w:behaviors>
          <w:behavior w:val="content"/>
        </w:behaviors>
        <w:guid w:val="{186AA555-68DC-428D-BDF4-CDE9606CF438}"/>
      </w:docPartPr>
      <w:docPartBody>
        <w:p w:rsidR="00B35BF8" w:rsidRDefault="00000000" w:rsidP="0075782D">
          <w:pPr>
            <w:pStyle w:val="4CF872B4B98745B781DEABD2DB2662C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82D"/>
  </w:style>
  <w:style w:type="paragraph" w:customStyle="1" w:styleId="4CF872B4B98745B781DEABD2DB2662CE">
    <w:name w:val="4CF872B4B98745B781DEABD2DB2662CE"/>
    <w:rsid w:val="007578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82D"/>
  </w:style>
  <w:style w:type="paragraph" w:customStyle="1" w:styleId="4CF872B4B98745B781DEABD2DB2662CE">
    <w:name w:val="4CF872B4B98745B781DEABD2DB2662CE"/>
    <w:rsid w:val="00757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C9C58-E0FA-477F-948C-5EFEDE4B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Angelfish</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Gibson</dc:creator>
  <cp:lastModifiedBy>Latitude</cp:lastModifiedBy>
  <cp:revision>2</cp:revision>
  <cp:lastPrinted>2013-10-09T14:41:00Z</cp:lastPrinted>
  <dcterms:created xsi:type="dcterms:W3CDTF">2014-03-13T13:33:00Z</dcterms:created>
  <dcterms:modified xsi:type="dcterms:W3CDTF">2014-03-13T13:33:00Z</dcterms:modified>
</cp:coreProperties>
</file>