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Fonts w:ascii="Arial" w:cs="Arial" w:eastAsia="Arial" w:hAnsi="Arial"/>
          <w:rtl w:val="0"/>
        </w:rPr>
        <w:t xml:space="preserve">07/11/2022</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color w:val="000000"/>
          <w:rtl w:val="0"/>
        </w:rPr>
        <w:t xml:space="preserve">RESOLUTION for the Trustees of the The Firewater Scheme </w:t>
      </w:r>
      <w:r w:rsidDel="00000000" w:rsidR="00000000" w:rsidRPr="00000000">
        <w:rPr>
          <w:rFonts w:ascii="Arial" w:cs="Arial" w:eastAsia="Arial" w:hAnsi="Arial"/>
          <w:b w:val="1"/>
          <w:color w:val="222222"/>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000000"/>
        </w:rPr>
      </w:pPr>
      <w:bookmarkStart w:colFirst="0" w:colLast="0" w:name="_heading=h.30j0zll" w:id="2"/>
      <w:bookmarkEnd w:id="2"/>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Patrick Joseph H</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nes</w:t>
      </w:r>
    </w:p>
    <w:p w:rsidR="00000000" w:rsidDel="00000000" w:rsidP="00000000" w:rsidRDefault="00000000" w:rsidRPr="00000000" w14:paraId="00000020">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Patrick Nathan H</w:t>
      </w:r>
      <w:r w:rsidDel="00000000" w:rsidR="00000000" w:rsidRPr="00000000">
        <w:rPr>
          <w:rFonts w:ascii="Arial" w:cs="Arial" w:eastAsia="Arial" w:hAnsi="Arial"/>
          <w:rtl w:val="0"/>
        </w:rPr>
        <w:t xml:space="preserve">y</w:t>
      </w:r>
      <w:r w:rsidDel="00000000" w:rsidR="00000000" w:rsidRPr="00000000">
        <w:rPr>
          <w:rFonts w:ascii="Arial" w:cs="Arial" w:eastAsia="Arial" w:hAnsi="Arial"/>
          <w:color w:val="000000"/>
          <w:rtl w:val="0"/>
        </w:rPr>
        <w:t xml:space="preserve">nes</w:t>
      </w:r>
    </w:p>
    <w:p w:rsidR="00000000" w:rsidDel="00000000" w:rsidP="00000000" w:rsidRDefault="00000000" w:rsidRPr="00000000" w14:paraId="00000024">
      <w:pP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8">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9">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i9V1Kb92D1bWHHdoZ7c2WSJMcyQ==">AMUW2mWi/liiBJ9tg+lEDaZq6Wyg3H2r17ir2f0rMZQtDYpebeoU6krYCuCASy3RDeBDUL3wmhKQfBMvoFIEKw7ax0dtTnzqbbyoRwjdxiIAXUB30/phXYaZpbY3LSg1pz1NIj2lUTyPneh4MrD8tPd/GNgcFRCsrw==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2022-07-05T17:46:00Z</dcterms:created>
  <dc:creator>Shelly</dc:creator>
</cp:coreProperties>
</file>