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Wickenburg Limited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(the “Sponsoring Employer”) established a small self-administered scheme governed by a Trust Deed dated </w:t>
      </w:r>
      <w:r w:rsidDel="00000000" w:rsidR="00000000" w:rsidRPr="00000000">
        <w:rPr>
          <w:sz w:val="24"/>
          <w:szCs w:val="24"/>
          <w:rtl w:val="0"/>
        </w:rPr>
        <w:t xml:space="preserve">7th November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all subsequent amendments (the “Existing Provisions”).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Trustee has consented to the wind up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The Firewater Scheme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(the "Scheme"), given that the Scheme no longer has any assets or liabilities held under trust.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Pursuant to Clause 32 of the governing Trust Deed, the Trustees of the Scheme have resolved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 the Scheme from Pension Schemes On-Line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 all banking and investment schemes that have been established to accept contributions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Signed:</w:t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Patrick Joseph Hynes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Signed:</w:t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Trustee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Patrick Nathan Hynes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/xNDQ8w6idGsdkk5NC0pW68tg==">CgMxLjA4AHIhMXZkd0lVVlhtUHZOaFJtczBWdHl1T0FmWEZxVWhUME9q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