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487ADFC7" w:rsidR="001077F5" w:rsidRDefault="002205E8">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C76251">
        <w:rPr>
          <w:rFonts w:ascii="Arial" w:hAnsi="Arial" w:cs="Arial"/>
        </w:rPr>
        <w:t>Zahida Jabeen</w:t>
      </w:r>
      <w:r>
        <w:rPr>
          <w:rFonts w:ascii="Arial" w:eastAsia="Arial" w:hAnsi="Arial" w:cs="Arial"/>
          <w:color w:val="FF0000"/>
        </w:rPr>
        <w:t xml:space="preserve"> </w:t>
      </w:r>
      <w:r w:rsidR="002E5C19">
        <w:rPr>
          <w:rFonts w:ascii="Arial" w:eastAsia="Arial" w:hAnsi="Arial" w:cs="Arial"/>
          <w:color w:val="FF0000"/>
        </w:rPr>
        <w:t xml:space="preserve"> </w:t>
      </w:r>
    </w:p>
    <w:p w14:paraId="6C6F73B0" w14:textId="77777777" w:rsidR="003A2D0E" w:rsidRPr="00667B6B" w:rsidRDefault="003A2D0E" w:rsidP="003A2D0E">
      <w:pPr>
        <w:shd w:val="clear" w:color="auto" w:fill="FFFFFF"/>
        <w:spacing w:after="0" w:line="240" w:lineRule="auto"/>
        <w:jc w:val="right"/>
        <w:rPr>
          <w:rFonts w:ascii="Arial" w:eastAsia="Times New Roman" w:hAnsi="Arial" w:cs="Arial"/>
          <w:color w:val="000000"/>
        </w:rPr>
      </w:pPr>
      <w:r w:rsidRPr="00667B6B">
        <w:rPr>
          <w:rFonts w:ascii="Arial" w:eastAsia="Times New Roman" w:hAnsi="Arial" w:cs="Arial"/>
          <w:color w:val="000000"/>
        </w:rPr>
        <w:t>117 Shirley Avenue</w:t>
      </w:r>
    </w:p>
    <w:p w14:paraId="0AB6189B" w14:textId="77777777" w:rsidR="003A2D0E" w:rsidRPr="00667B6B" w:rsidRDefault="003A2D0E" w:rsidP="003A2D0E">
      <w:pPr>
        <w:shd w:val="clear" w:color="auto" w:fill="FFFFFF"/>
        <w:spacing w:after="0" w:line="240" w:lineRule="auto"/>
        <w:jc w:val="right"/>
        <w:rPr>
          <w:rFonts w:ascii="Arial" w:eastAsia="Times New Roman" w:hAnsi="Arial" w:cs="Arial"/>
          <w:caps/>
          <w:color w:val="000000"/>
        </w:rPr>
      </w:pPr>
      <w:r w:rsidRPr="00C76251">
        <w:rPr>
          <w:rFonts w:ascii="Arial" w:eastAsia="Times New Roman" w:hAnsi="Arial" w:cs="Arial"/>
          <w:color w:val="000000"/>
        </w:rPr>
        <w:t>Croydon</w:t>
      </w:r>
    </w:p>
    <w:p w14:paraId="3553708F" w14:textId="3329C4A6" w:rsidR="001077F5" w:rsidRDefault="003A2D0E" w:rsidP="003A2D0E">
      <w:pPr>
        <w:pBdr>
          <w:top w:val="nil"/>
          <w:left w:val="nil"/>
          <w:bottom w:val="nil"/>
          <w:right w:val="nil"/>
          <w:between w:val="nil"/>
        </w:pBdr>
        <w:spacing w:after="0" w:line="240" w:lineRule="auto"/>
        <w:jc w:val="right"/>
        <w:rPr>
          <w:rFonts w:ascii="Arial" w:eastAsia="Arial" w:hAnsi="Arial" w:cs="Arial"/>
          <w:color w:val="FF0000"/>
        </w:rPr>
      </w:pPr>
      <w:r w:rsidRPr="00667B6B">
        <w:rPr>
          <w:rFonts w:ascii="Arial" w:eastAsia="Times New Roman" w:hAnsi="Arial" w:cs="Arial"/>
          <w:caps/>
          <w:color w:val="000000"/>
        </w:rPr>
        <w:t>CR0 8SQ</w:t>
      </w:r>
      <w:r>
        <w:rPr>
          <w:rFonts w:ascii="Arial" w:eastAsia="Arial" w:hAnsi="Arial" w:cs="Arial"/>
          <w:color w:val="FF0000"/>
        </w:rPr>
        <w:t xml:space="preserve"> </w:t>
      </w:r>
      <w:bookmarkStart w:id="2" w:name="_heading=h.f660lfcd786a" w:colFirst="0" w:colLast="0"/>
      <w:bookmarkStart w:id="3" w:name="_heading=h.dqahn2tb3xj2" w:colFirst="0" w:colLast="0"/>
      <w:bookmarkEnd w:id="2"/>
      <w:bookmarkEnd w:id="3"/>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4" w:name="_heading=h.byy898vmnvy8" w:colFirst="0" w:colLast="0"/>
      <w:bookmarkEnd w:id="4"/>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0E78141B" w:rsidR="001077F5" w:rsidRDefault="002205E8">
      <w:pPr>
        <w:rPr>
          <w:rFonts w:ascii="Arial" w:eastAsia="Arial" w:hAnsi="Arial" w:cs="Arial"/>
          <w:b/>
          <w:color w:val="FF0000"/>
        </w:rPr>
      </w:pPr>
      <w:bookmarkStart w:id="5" w:name="_heading=h.gjdgxs" w:colFirst="0" w:colLast="0"/>
      <w:bookmarkEnd w:id="5"/>
      <w:r w:rsidRPr="00C76251">
        <w:rPr>
          <w:rFonts w:ascii="Arial" w:hAnsi="Arial" w:cs="Arial"/>
        </w:rPr>
        <w:t>Zahida Jabeen</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17D4EC22"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2205E8" w:rsidRPr="00C76251">
        <w:rPr>
          <w:rFonts w:ascii="Arial" w:hAnsi="Arial" w:cs="Arial"/>
        </w:rPr>
        <w:t>Zahida</w:t>
      </w:r>
      <w:r>
        <w:rPr>
          <w:rFonts w:ascii="Arial" w:eastAsia="Arial" w:hAnsi="Arial" w:cs="Arial"/>
        </w:rPr>
        <w:t>,</w:t>
      </w:r>
    </w:p>
    <w:p w14:paraId="35537097" w14:textId="628A1F9D" w:rsidR="001077F5" w:rsidRDefault="002205E8">
      <w:pPr>
        <w:rPr>
          <w:rFonts w:ascii="Arial" w:eastAsia="Arial" w:hAnsi="Arial" w:cs="Arial"/>
          <w:color w:val="000000"/>
        </w:rPr>
      </w:pPr>
      <w:bookmarkStart w:id="6" w:name="_heading=h.3znysh7" w:colFirst="0" w:colLast="0"/>
      <w:bookmarkStart w:id="7" w:name="_Hlk150534730"/>
      <w:bookmarkEnd w:id="6"/>
      <w:r w:rsidRPr="00C76251">
        <w:rPr>
          <w:rFonts w:ascii="Arial" w:hAnsi="Arial" w:cs="Arial"/>
          <w:shd w:val="clear" w:color="auto" w:fill="FFFFFF"/>
        </w:rPr>
        <w:t>The Rahman Family SSAS</w:t>
      </w:r>
      <w:bookmarkEnd w:id="7"/>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8" w:name="_heading=h.2et92p0" w:colFirst="0" w:colLast="0"/>
      <w:bookmarkEnd w:id="8"/>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9" w:name="_heading=h.aefubu157cr0" w:colFirst="0" w:colLast="0"/>
      <w:bookmarkEnd w:id="9"/>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205E8"/>
    <w:rsid w:val="002A4B46"/>
    <w:rsid w:val="002E5C19"/>
    <w:rsid w:val="003A2D0E"/>
    <w:rsid w:val="004A5B45"/>
    <w:rsid w:val="0051520F"/>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1357</Words>
  <Characters>6815</Characters>
  <Application>Microsoft Office Word</Application>
  <DocSecurity>0</DocSecurity>
  <Lines>148</Lines>
  <Paragraphs>82</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8</cp:revision>
  <dcterms:created xsi:type="dcterms:W3CDTF">2022-09-02T15:12:00Z</dcterms:created>
  <dcterms:modified xsi:type="dcterms:W3CDTF">2023-11-10T14:31:00Z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