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17/08/2023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The Yin Family SSAS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S0000025853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July 2023. Please find below the requested information to assist with the registration of The Yin Family SSAS.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attached.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two members. Please see below the members’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Jacinta Marina Yin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103 Wendell Roadб London, W12 9SB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JE701947D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07977 271311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Barry Michael Yin 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Flat 32 Ashlar Court, 21 Ravenscourt Gardens, Hammersmith, W6 0TU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NE492168B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07837 177079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two members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Trustees would like to consolidate their pension benefits and transfer their policies currently held with different pension providers totalling approximately £237,000 in the first year. The sponsoring employer would also like to make contributions to the SSAS in the total amount of £15,000 during the first year. At this stage, the investment being considered is a commercial property purchase. No specific property has been identified as yet.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anticipate the scheme to be worth 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250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 at the end of the first year of its existence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Pulau Properties Ltd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C/O Dpc Stone House, 55 Stone Road Business Park, Stoke-On-Trent,  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Staffordshire, England, ST4 6SR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07977 271311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120/KE44485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440 4342 31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17836 27264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Jacinta Marina Yin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rtl w:val="0"/>
        </w:rPr>
        <w:t xml:space="preserve">103 Wendell Roadб London, W12 9SB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JE701947D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07977 271311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Barry Michael Yin </w:t>
      </w:r>
    </w:p>
    <w:p w:rsidR="00000000" w:rsidDel="00000000" w:rsidP="00000000" w:rsidRDefault="00000000" w:rsidRPr="00000000" w14:paraId="0000004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Flat 32 Ashlar Court, 21 Ravenscourt Gardens, Hammersmith, W6 0TU</w:t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NE492168B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07837 177079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Michelle Coates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DPC accountants 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Address: </w:t>
      </w:r>
      <w:r w:rsidDel="00000000" w:rsidR="00000000" w:rsidRPr="00000000">
        <w:rPr>
          <w:rFonts w:ascii="Arial" w:cs="Arial" w:eastAsia="Arial" w:hAnsi="Arial"/>
          <w:rtl w:val="0"/>
        </w:rPr>
        <w:t xml:space="preserve">Stone House, Business Park, 55 Stone Rd, Stoke-on-Trent, ST4 6SR, United Kingdom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Michelle.coates@dpcaccountants.com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01782 433379.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-236845</wp:posOffset>
          </wp:positionV>
          <wp:extent cx="7792338" cy="1086501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-457189</wp:posOffset>
          </wp:positionV>
          <wp:extent cx="7810500" cy="1126514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vJI1WX1Al4VA6DhbjeY6H1T1tg==">CgMxLjAyCWguMzBqMHpsbDIJaC4xZm9iOXRlMgloLjN6bnlzaDcyCGguZ2pkZ3hzMgloLjFmb2I5dGU4AHIhMWs1b1ZHb3N5SklRQjVVN2lTWG0tOHBQa2hWTkdlbUFP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