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relating to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left"/>
        <w:rPr>
          <w:rFonts w:ascii="Arial" w:cs="Arial" w:eastAsia="Arial" w:hAnsi="Arial"/>
          <w:color w:val="222222"/>
          <w:highlight w:val="yellow"/>
        </w:rPr>
      </w:pPr>
      <w:r w:rsidDel="00000000" w:rsidR="00000000" w:rsidRPr="00000000">
        <w:rPr>
          <w:rtl w:val="0"/>
        </w:rPr>
      </w:r>
    </w:p>
    <w:p w:rsidR="00000000" w:rsidDel="00000000" w:rsidP="00000000" w:rsidRDefault="00000000" w:rsidRPr="00000000" w14:paraId="00000006">
      <w:pPr>
        <w:spacing w:line="240" w:lineRule="auto"/>
        <w:jc w:val="center"/>
        <w:rPr>
          <w:rFonts w:ascii="Arial" w:cs="Arial" w:eastAsia="Arial" w:hAnsi="Arial"/>
          <w:b w:val="1"/>
          <w:color w:val="0b0c0c"/>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TRUST DEED is made on</w:t>
        <w:br w:type="textWrapping"/>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color w:val="0b0c0c"/>
          <w:rtl w:val="0"/>
        </w:rPr>
        <w:t xml:space="preserve">VKICT LTD (</w:t>
      </w:r>
      <w:r w:rsidDel="00000000" w:rsidR="00000000" w:rsidRPr="00000000">
        <w:rPr>
          <w:rFonts w:ascii="Arial" w:cs="Arial" w:eastAsia="Arial" w:hAnsi="Arial"/>
          <w:color w:val="0b0c0c"/>
          <w:rtl w:val="0"/>
        </w:rPr>
        <w:t xml:space="preserve">Company number 10487946) </w:t>
      </w:r>
      <w:r w:rsidDel="00000000" w:rsidR="00000000" w:rsidRPr="00000000">
        <w:rPr>
          <w:rFonts w:ascii="Arial" w:cs="Arial" w:eastAsia="Arial" w:hAnsi="Arial"/>
          <w:color w:val="0b0c0c"/>
          <w:rtl w:val="0"/>
        </w:rPr>
        <w:t xml:space="preserve">whose registered office is situate at </w:t>
      </w:r>
      <w:r w:rsidDel="00000000" w:rsidR="00000000" w:rsidRPr="00000000">
        <w:rPr>
          <w:rFonts w:ascii="Arial" w:cs="Arial" w:eastAsia="Arial" w:hAnsi="Arial"/>
          <w:color w:val="0b0c0c"/>
          <w:highlight w:val="white"/>
          <w:rtl w:val="0"/>
        </w:rPr>
        <w:t xml:space="preserve">Bank House Southwick Square, Southwick, Brighton, England, BN42 4FN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"Employer"); and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2. </w:t>
      </w:r>
      <w:r w:rsidDel="00000000" w:rsidR="00000000" w:rsidRPr="00000000">
        <w:rPr>
          <w:rFonts w:ascii="Arial" w:cs="Arial" w:eastAsia="Arial" w:hAnsi="Arial"/>
          <w:rtl w:val="0"/>
        </w:rPr>
        <w:t xml:space="preserve">Veronica Kalnars ℅ </w:t>
      </w:r>
      <w:r w:rsidDel="00000000" w:rsidR="00000000" w:rsidRPr="00000000">
        <w:rPr>
          <w:rFonts w:ascii="Arial" w:cs="Arial" w:eastAsia="Arial" w:hAnsi="Arial"/>
          <w:color w:val="0b0c0c"/>
          <w:highlight w:val="white"/>
          <w:rtl w:val="0"/>
        </w:rPr>
        <w:t xml:space="preserve">Bank House Southwick Square, Southwick, Brighton, England, BN42 4FN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(the "Trustee(s)").</w:t>
        <w:br w:type="textWrapping"/>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The Employer wishes to establish the </w:t>
      </w:r>
      <w:r w:rsidDel="00000000" w:rsidR="00000000" w:rsidRPr="00000000">
        <w:rPr>
          <w:rFonts w:ascii="Arial" w:cs="Arial" w:eastAsia="Arial" w:hAnsi="Arial"/>
          <w:color w:val="222222"/>
          <w:highlight w:val="white"/>
          <w:rtl w:val="0"/>
        </w:rPr>
        <w:t xml:space="preserve">VKICT Ltd Pension Scheme </w:t>
      </w:r>
      <w:r w:rsidDel="00000000" w:rsidR="00000000" w:rsidRPr="00000000">
        <w:rPr>
          <w:rFonts w:ascii="Arial" w:cs="Arial" w:eastAsia="Arial" w:hAnsi="Arial"/>
          <w:color w:val="000000"/>
          <w:rtl w:val="0"/>
        </w:rPr>
        <w:t xml:space="preserve">(Small Self- Administered Pension Scheme)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br w:type="textWrapping"/>
        <w:t xml:space="preserve">(B) 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r>
      <w:r w:rsidDel="00000000" w:rsidR="00000000" w:rsidRPr="00000000">
        <w:rPr>
          <w:rFonts w:ascii="Arial" w:cs="Arial" w:eastAsia="Arial" w:hAnsi="Arial"/>
          <w:b w:val="1"/>
          <w:color w:val="000000"/>
          <w:rtl w:val="0"/>
        </w:rPr>
        <w:t xml:space="preserve">OPERATIVE PROVISIONS: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The Employer hereby establishes the SSAS with effect on and from the date of this deed and appoints the Trustees as the first trustees of the SSAS.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The SSAS is governed by the rules scheduled to this deed.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The Employer is the first principal employer of the SSAS.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The SSAS is (and will continue to be) a money purchase scheme, within the meaning of section 181(1) of the Pension Schemes Act 1993.</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br w:type="textWrapping"/>
        <w:t xml:space="preserve">6 No person has any right to enforce any provision of this deed and the rules attached to this deed by virtue only of the Contracts (Rights of Third Parties) Act 1999.</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color w:val="000000"/>
          <w:rtl w:val="0"/>
        </w:rPr>
        <w:t xml:space="preserve">7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Fonts w:ascii="Arial" w:cs="Arial" w:eastAsia="Arial" w:hAnsi="Arial"/>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rtl w:val="0"/>
        </w:rPr>
        <w:t xml:space="preserve">8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rtl w:val="0"/>
        </w:rPr>
        <w:t xml:space="preserve">9. </w:t>
      </w: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EXECUTED as a Deed b</w:t>
      </w:r>
      <w:r w:rsidDel="00000000" w:rsidR="00000000" w:rsidRPr="00000000">
        <w:rPr>
          <w:rFonts w:ascii="Arial" w:cs="Arial" w:eastAsia="Arial" w:hAnsi="Arial"/>
          <w:color w:val="000000"/>
          <w:highlight w:val="white"/>
          <w:rtl w:val="0"/>
        </w:rPr>
        <w:t xml:space="preserve">y </w:t>
      </w:r>
      <w:r w:rsidDel="00000000" w:rsidR="00000000" w:rsidRPr="00000000">
        <w:rPr>
          <w:rFonts w:ascii="Arial" w:cs="Arial" w:eastAsia="Arial" w:hAnsi="Arial"/>
          <w:color w:val="0b0c0c"/>
          <w:highlight w:val="white"/>
          <w:rtl w:val="0"/>
        </w:rPr>
        <w:t xml:space="preserve">VKICT Ltd</w:t>
      </w: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color w:val="000000"/>
          <w:rtl w:val="0"/>
        </w:rPr>
        <w:t xml:space="preserve">acting by</w:t>
        <w:br w:type="textWrapping"/>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t xml:space="preserve">Signature: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Director</w:t>
        <w:br w:type="textWrapping"/>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Witnessed in the presence of:</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as a Deed by </w:t>
        <w:br w:type="textWrapping"/>
        <w:br w:type="textWrapping"/>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highlight w:val="white"/>
        </w:rPr>
      </w:pPr>
      <w:r w:rsidDel="00000000" w:rsidR="00000000" w:rsidRPr="00000000">
        <w:rPr>
          <w:rFonts w:ascii="Arial" w:cs="Arial" w:eastAsia="Arial" w:hAnsi="Arial"/>
          <w:color w:val="000000"/>
          <w:rtl w:val="0"/>
        </w:rPr>
        <w:br w:type="textWrapping"/>
        <w:t xml:space="preserve">Signature:</w:t>
        <w:br w:type="textWrapping"/>
      </w:r>
      <w:r w:rsidDel="00000000" w:rsidR="00000000" w:rsidRPr="00000000">
        <w:rPr>
          <w:rFonts w:ascii="Arial" w:cs="Arial" w:eastAsia="Arial" w:hAnsi="Arial"/>
          <w:rtl w:val="0"/>
        </w:rPr>
        <w:t xml:space="preserve">Veronica Kalnars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TRUSTEE</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Witnessed in the presence of:</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lvah0fux271p" w:id="1"/>
      <w:bookmarkEnd w:id="1"/>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6wyo9u4pqs6k" w:id="2"/>
      <w:bookmarkEnd w:id="2"/>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r8n3388vffqf" w:id="3"/>
      <w:bookmarkEnd w:id="3"/>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uptecryp0ngy" w:id="4"/>
      <w:bookmarkEnd w:id="4"/>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b w:val="1"/>
        </w:rPr>
      </w:pPr>
      <w:bookmarkStart w:colFirst="0" w:colLast="0" w:name="_heading=h.ot0prlgyem3" w:id="5"/>
      <w:bookmarkEnd w:id="5"/>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bookmarkStart w:colFirst="0" w:colLast="0" w:name="_heading=h.oy6m7kyrky0f" w:id="6"/>
      <w:bookmarkEnd w:id="6"/>
      <w:r w:rsidDel="00000000" w:rsidR="00000000" w:rsidRPr="00000000">
        <w:rPr>
          <w:rFonts w:ascii="Arial" w:cs="Arial" w:eastAsia="Arial" w:hAnsi="Arial"/>
          <w:b w:val="1"/>
          <w:color w:val="000000"/>
          <w:rtl w:val="0"/>
        </w:rPr>
        <w:t xml:space="preserve">THE SCHEDULE - RULES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CONTENTS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RULE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GOVERNANCE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APPOINTMENT AND REMOVAL OF TRUSTEES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INVESTMENT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POWERS OF TRUSTEES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HELP FOR TRUSTEES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 PROCEEDINGS OF TRUSTEES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7 DUTIES OF TRUSTEES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8 LIABILITY OF TRUSTEES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9 FEES OF TRUSTEES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10 COSTS OF THE SSAS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11 SCHEME ADMINISTRATOR</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12 EMPLOYERS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13 AMENDMENT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14 ADMISSION TO MEMBERSHIP</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15 EVIDENCE AND INFORMATION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16 CONTRIBUTIONS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17 MULTIPLE INDIVIDUAL FUNDS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18 BENEFITS FOR A MEMBER</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19 DEATH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20 DRAWDOWN</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21 PAYMENT OF LUMP SUM DEATH BENEFITS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22 REALLOCATION TO UNCONNECTED MEMBERS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23 TRANSFERS OF BENEFITS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24 PAYMENT OF BENEFIT</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25 OVERPAYMENT OF BENEFIT</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26 DEDUCTION OF TAX</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27 INALIENABILITY</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28 APPLICATION OF THE GENERAL FUND</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29 PRESERVATION</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30 PENSION SHARING</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31 BUYING-OUT BENEFITS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32 WINDING-UP</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33 NOTICES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34 DEFINITIONS AND INTERPRETATION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THE RULES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 GOVERNANCE</w:t>
      </w:r>
      <w:r w:rsidDel="00000000" w:rsidR="00000000" w:rsidRPr="00000000">
        <w:rPr>
          <w:rtl w:val="0"/>
        </w:rPr>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spacing w:line="240"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The SSAS is governed by the Rules.</w:t>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spacing w:line="240"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are the Trustees of the SSAS.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 The Trustees hold the Fund upon irrevocable trusts subject to the Rules.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 The Trustees may do anything expedient or necessary in relation to the Fund and for the benefit of Beneficiaries.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1.4 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1.5 A person will only have a claim, right or interest in respect of the SSAS to the extent that it arises under the Rules.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 APPOINTMENT AND REMOVAL OF TRUSTEES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2.1 The Trustees may by Resolution:</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 appoint any person to act as a new or additional Trustee; and</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2.1.2 remove any person who is a Trustee from acting as a Trustee whether or not another person is appointed as a replacement Trustee.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 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2.3 There is no minimum or maximum number of Trustees.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 INVESTMENT</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3.1 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3.1.1 any policy from or contract with an insurance company in connection with the provision of pension, lump sum or any other similar benefits;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3.1.2 any interest in land or property (including commercial and residential land or property);</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3.1.3 any units, unit trusts or mutual funds or in any other common investment funds or securitised issues or in any other form of collective investment;</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3.1.4 the purchase of or subscription for or in underwriting, sub-underwriting or guaranteeing the subscription of any stocks, shares, debenture stocks or other investments;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3.1.5 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3.1.6 any bank or building society account;</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3.1.7 any property or right or interest of any description and in any asset whether tangible or not and whether moveable or not; and</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3.1.8 the insurance of any assets of the Fund against any risks.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 The Trustees may also: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3.2.1 lend monies to, and borrow or raise monies from, any person for such purposes and upon such security and subject to such terms as they consider fit; and</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3.2.2 sell, lend, lease, license, surrender, assign, convert, repair, alter, improve, maintain, develop, demolish, vary or transpose any assets of the Fund.</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1440" w:hanging="731"/>
        <w:rPr>
          <w:rFonts w:ascii="Arial" w:cs="Arial" w:eastAsia="Arial" w:hAnsi="Arial"/>
          <w:color w:val="000000"/>
        </w:rPr>
      </w:pPr>
      <w:r w:rsidDel="00000000" w:rsidR="00000000" w:rsidRPr="00000000">
        <w:rPr>
          <w:rFonts w:ascii="Arial" w:cs="Arial" w:eastAsia="Arial" w:hAnsi="Arial"/>
          <w:color w:val="000000"/>
          <w:rtl w:val="0"/>
        </w:rPr>
        <w:t xml:space="preserve">3.3 The Trustees may exercise any powers under this Rule 3:</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1429"/>
        <w:rPr>
          <w:rFonts w:ascii="Arial" w:cs="Arial" w:eastAsia="Arial" w:hAnsi="Arial"/>
          <w:color w:val="000000"/>
        </w:rPr>
      </w:pPr>
      <w:r w:rsidDel="00000000" w:rsidR="00000000" w:rsidRPr="00000000">
        <w:rPr>
          <w:rFonts w:ascii="Arial" w:cs="Arial" w:eastAsia="Arial" w:hAnsi="Arial"/>
          <w:color w:val="000000"/>
          <w:rtl w:val="0"/>
        </w:rPr>
        <w:t xml:space="preserve">3.3.1 alone or jointly with the trustees of any other pension scheme or with any other person;</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709" w:firstLine="720"/>
        <w:rPr>
          <w:rFonts w:ascii="Arial" w:cs="Arial" w:eastAsia="Arial" w:hAnsi="Arial"/>
          <w:color w:val="000000"/>
        </w:rPr>
      </w:pPr>
      <w:r w:rsidDel="00000000" w:rsidR="00000000" w:rsidRPr="00000000">
        <w:rPr>
          <w:rFonts w:ascii="Arial" w:cs="Arial" w:eastAsia="Arial" w:hAnsi="Arial"/>
          <w:color w:val="000000"/>
          <w:rtl w:val="0"/>
        </w:rPr>
        <w:t xml:space="preserve">3.3.2 whether or not the exercise of any such power:</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produces interest or dividends or any other form of income;</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involves a wasting or depreciating asset or any interest in an asset which is reversionary or limited in any other way;</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(c) involves any liability on the Trustees or the Fund;</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70"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3.3.3 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4 POWERS OF TRUSTEES</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4.1 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4.2 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4.3 The Trustees may operate a bank or building society account or delegate this to a third party.</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4.4 The Trustees may accept or renounce gifts, donations or bequests to the SSAS.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5 HELP FOR TRUSTEES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5.1 The Trustees may:</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5.1.1 obtain professional advice and services;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5.1.2 employ and obtain services from any person or Participating Employer;</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5.1.3 obtain services from an employee of a Participating Employer, with the agreement of that Participating Employer; and</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5.1.4 appoint and obtain services from any investment manager, nominee, custodian, sub-custodian or other person concerned with the management or custody of assets.</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5.2 Where required any appointment of an adviser or delegate must comply with the requirements of section 47 of the Pensions Act 1995.</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 PROCEEDINGS OF TRUSTEES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6.1 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6.2 The Trustees can only make decisions by unanimous agreement.</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7 DUTIES OF TRUSTEES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7.1 The Trustees must keep such books and records as may be required:</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7.1.1 for the proper administration and management of the SSAS; or</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7.1.2 by section 49(2) of the Pensions Act 1995.</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7.2 The Trustees may at any time, and must if required by law, arrange for a statement of accounts in relation to the Fund to be prepared and audited.</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8 LIABILITY OF TRUSTEES</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8.1 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8.1.1 in relation to the consequences of their own fraudulent or dishonest conduct or their own wilful neglect or default; and</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8.1.2 that any professional trustee will be liable for the consequences of their or its negligence.</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8.2 The Trustees will to the extent:</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8.2.1 permitted by section 256 of the Pensions Act 2004, be indemnified out of the Fund; or</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8.2.2 that the Trustees cannot be indemnified out of the Fund, be indemnified by each Participating Employer;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9 FEES OF TRUSTEES</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9.1 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10 COSTS OF THE SSAS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11 SCHEME ADMINISTRATOR</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11.1 The Trustees appoint </w:t>
      </w:r>
      <w:r w:rsidDel="00000000" w:rsidR="00000000" w:rsidRPr="00000000">
        <w:rPr>
          <w:rFonts w:ascii="Arial" w:cs="Arial" w:eastAsia="Arial" w:hAnsi="Arial"/>
          <w:rtl w:val="0"/>
        </w:rPr>
        <w:t xml:space="preserve">shall appoint one or more persons</w:t>
      </w:r>
      <w:r w:rsidDel="00000000" w:rsidR="00000000" w:rsidRPr="00000000">
        <w:rPr>
          <w:rFonts w:ascii="Arial" w:cs="Arial" w:eastAsia="Arial" w:hAnsi="Arial"/>
          <w:color w:val="000000"/>
          <w:rtl w:val="0"/>
        </w:rPr>
        <w:t xml:space="preserve"> who satisfies the criteria in section 270(2) of the Act to act as the Scheme Administrator and may remove any such person from acting as the Scheme Administrator.</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11.2 The Trustees must ensure that a person who satisfies the criteria in section 270(2) of the Act is appointed as the Scheme Administrator at all times.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11.4 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11.5 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rPr>
      </w:pPr>
      <w:r w:rsidDel="00000000" w:rsidR="00000000" w:rsidRPr="00000000">
        <w:rPr>
          <w:rFonts w:ascii="Arial" w:cs="Arial" w:eastAsia="Arial" w:hAnsi="Arial"/>
          <w:rtl w:val="0"/>
        </w:rPr>
        <w:t xml:space="preserve">11.6 The Trustees may appoint more than one person or firm to act as a Scheme Administrator for the purposes of the Finance Act 2004.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12 EMPLOYERS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12.1 An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shall be a Participating Employer if (and only if):</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12.1.1 it is the Principal Employer;</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12.1.2 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12.1.3 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12.2 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12.3 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12.4 If a Participating Employer:</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12.4.1 goes into liquidation or is dissolved or otherwise ceases to exist;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12.4.2 has an administrator, an administrative receiver or the official receiver appointed in respect of any of its undertaking or assets; or</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12.4.3 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all of its powers and discretions under the Rules will vest in and be exercisable by the Trustees alone.</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 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12.4.2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13 AMENDMENT</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13.1 The Trustees may by deed modify, add to or delete any of the Rules with retrospective immediate or future effect subject to any restrictions imposed by law.</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13.2 This power of amendment will survive the commencement of the winding up of the SSAS under Rule 32.</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14 ADMISSION TO MEMBERSHIP</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14.1 The Employer may admit as a Member: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14.1.1 any employee or director of a Participating Employer;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14.1.2 any spouse or dependant(s) connected with that employee or director; and</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subject to any terms and conditions as the Trustees think fit.</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14.2 A Member who, by virtue of Rule 23 (Transfer of Benefits) or Rule 31 (Buying-out of Benefits) or otherwise, ceases to have any Individual Funds within the Scheme, shall cease to be a Member.</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15 EVIDENCE AND INFORMATION</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bookmarkStart w:colFirst="0" w:colLast="0" w:name="_heading=h.30j0zll" w:id="7"/>
      <w:bookmarkEnd w:id="7"/>
      <w:r w:rsidDel="00000000" w:rsidR="00000000" w:rsidRPr="00000000">
        <w:rPr>
          <w:rFonts w:ascii="Arial" w:cs="Arial" w:eastAsia="Arial" w:hAnsi="Arial"/>
          <w:color w:val="000000"/>
          <w:rtl w:val="0"/>
        </w:rPr>
        <w:t xml:space="preserve">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15.2 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16 CONTRIBUTIONS</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16.1 Subject to Rule 16.3, any person may with the consent of the Trustees contribute to the Fund in such form and amounts and at such times as the Trustees may decide.</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16.2 A contribution must be allocated to:</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16.2.1 one or more Individual Funds which relate to one or more Members, as the person who makes the contribution directs; or</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16.2.2 in the absence of any such direction, the General Fund.</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16.3 A contribution which would cause:</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16.3.1 the loss of Enhanced Protection or Fixed Protection; or</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16.3.2 any payment of Drawdown to that Member to be or treated as an </w:t>
      </w:r>
      <w:r w:rsidDel="00000000" w:rsidR="00000000" w:rsidRPr="00000000">
        <w:rPr>
          <w:rFonts w:ascii="Arial" w:cs="Arial" w:eastAsia="Arial" w:hAnsi="Arial"/>
          <w:b w:val="1"/>
          <w:i w:val="1"/>
          <w:color w:val="000000"/>
          <w:rtl w:val="0"/>
        </w:rPr>
        <w:t xml:space="preserve">unauthorised payment;</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17 MULTIPLE INDIVIDUAL FUNDS</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17.1 constitute a separate Individual Fund for the purposes of the Rules; but</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17.2 not constitute a separate arrangement for the purposes of the Act unless the Member and Trustees agree otherwise.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18 BENEFITS FOR A MEMBER</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18.1 The Trustees may at the request of a Member use some or all of an Uncrystallised Fund to:</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18.1.1 designate it as being available for the payment of Drawdown to the Member under Rule 20;</w:t>
        <w:br w:type="textWrapping"/>
        <w:t xml:space="preserve">18.1.2 pay a pension commencement lump sum; or</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on such date as and at the request of the Member may select which is not before the earlier of the date on which the Member reaches his normal minimum pension age (or any protected pension age) and the ill-health condition is met.</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18.2 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18.3 Notwithstanding Rule 18.1, the Trustees may at the request of a Member use some or all of an Uncrystallised Fund to:</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18.3.1 provide any benefit permitted by the pension rules, lump sum rule, </w:t>
      </w:r>
      <w:r w:rsidDel="00000000" w:rsidR="00000000" w:rsidRPr="00000000">
        <w:rPr>
          <w:rFonts w:ascii="Arial" w:cs="Arial" w:eastAsia="Arial" w:hAnsi="Arial"/>
          <w:b w:val="1"/>
          <w:i w:val="1"/>
          <w:color w:val="000000"/>
          <w:rtl w:val="0"/>
        </w:rPr>
        <w:t xml:space="preserve">pension death benefit rules or lump sum death benefit rule;</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18.3.2 make any other payment authorised by the Act;</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18.3.3 provide benefits of any kind other than a payment; or</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18.3.4 make (or do anything which is treated as making) an unauthorised payment</w:t>
      </w:r>
      <w:r w:rsidDel="00000000" w:rsidR="00000000" w:rsidRPr="00000000">
        <w:rPr>
          <w:rFonts w:ascii="Arial" w:cs="Arial" w:eastAsia="Arial" w:hAnsi="Arial"/>
          <w:b w:val="1"/>
          <w:i w:val="1"/>
          <w:color w:val="000000"/>
          <w:rtl w:val="0"/>
        </w:rPr>
        <w:t xml:space="preserve">.</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Provided that no unauthorised payment may be paid without the prior consent of the Scheme Administrator.</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19 DEATH BENEFITS</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19.1 The Trustees must on the death of a Member use his Individual Fund in one or more of the following ways to: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19.1.1 designate it as being available for the payment of Drawdown to one or more Dependants under Rule 20;</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19.1.2 pay lump sum death benefits under Rule 21;</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19.1.4 notwithstanding Rules 19.1.1 to 19.1.3, in one or more of the ways described in Rules 18.3.1 to 18.3.4 subject to the same proviso;</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19.1.5 reallocate it under Rule 22;</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19.1.6 to the extent that it cannot be used under Rules 19.1.1 to 19.1.3, allocate it to the General Fund.</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19.2 The Trustees must on the death of a Dependant to whom the SSAS is paying Benefits use the Dependant's Individual Fund in one or more of the following ways to:</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19.2.1 designate it as being available for the payment of Drawdown to one or more other Dependants under Rule 20;</w:t>
        <w:br w:type="textWrapping"/>
        <w:t xml:space="preserve">19.2.2 pay lump sum death benefits under Rule 21;</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19.2.4 notwithstanding Rules 19.2.1 to 19.2.3, in one or more of the ways described in Rules 18.3.1 to 18.3.4 subject to the same proviso;</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19.2.5 reallocate it under Rule 22;</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19.2.6 to the extent that it cannot be applied under Rules 19.2.1 to 19.2.6, allocate it to the General Fund.</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19.3 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20 DRAWDOWN</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20.2 The Trustees are not required to make any payment of Flexible Drawdown unless:</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20.2.1 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20.2.2 in the opinion of the Trustees, sufficient provision has been made for any appropriate deductions under Rule 26 or otherwise.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20.3 Any declaration made to the Trustees in connection with Flexible Drawdown will be treated as made to the Scheme Administrator for the purposes of the Act.</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21 PAYMENT OF LUMP SUM DEATH BENEFITS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21.1 Subject to Rules 21.2 and 21.3, when the Trustees pay lump sum death benefits under this Rule they must pay such benefits to one or more of the following persons:</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21.1.1 the Member's or Dependant's Relatives;</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21.1.2 on the death of a Member:</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any person nominated for this purpose by the Member;</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(b) a Dependant of the Member;</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21.1.3 on the death of a Dependant:</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any person nominated for this purpose by the Dependant;</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(b) another Dependant;</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21.1.4 any person with an entitlement under the Member's or Dependant's will;</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21.1.5 the Member's or Dependant's personal representatives.</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21.2 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21.3 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22 REALLOCATION TO UNCONNECTED MEMBERS</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22.1 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22.2 The Trustees may for the purposes of a reallocation under Rule 22.1 admit an unconnected member as a Member.</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22.3 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23 TRANSFERS OF BENEFITS</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23.1 The Trustees may:</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23.1.1 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23.1.2 make a transfer payment which represents all or part of an Individual Fund to another registered pension scheme or to a qualifying recognised overseas pension scheme.</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23.2 The Trustees are only required to obtain the consent of the individual in question to a transfer payment under this Rule if:</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23.2.1 such transfer would prejudice Enhanced Protection or Fixed Protection;</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23.2.2 such transfer would not be a recognised transfer; or</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23.2.3 such consent is required by law.</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23.4 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23.5 The Trustees must provide such information to such persons for the purposes of a transfer under this Rule as is required by law or they may do so as they think fit.</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24 PAYMENT OF BENEFIT</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24.1 The Trustees must pay a Benefit:</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24.1.1 by bank transfer or otherwise in monetary form; or</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24.1.2 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25 OVERPAYMENT OF BENEFIT</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26 DEDUCTION OF TAX</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Trustees may deduct from any:</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26.1 payment (or anything treated as a payment) to any person or body:</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26.2 part of the Fund to which a payment (or anything treated as a payment) relates;</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26.3 reallocation under Rule 22 or allocation to the General Fund; </w:t>
        <w:br w:type="textWrapping"/>
        <w:br w:type="textWrapping"/>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27 INALIENABILITY</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27.1 A Benefit can only be assigned, commuted, surrendered or forfeited in accordance with sections 91 to 95 of the Pensions Act 1995.</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27.2.1 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270"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27.2.2 a Participating Employer from a Beneficiary arising out of a criminal, negligent or fraudulent act or omission by him;</w:t>
        <w:br w:type="textWrapping"/>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270" w:line="240" w:lineRule="auto"/>
        <w:ind w:left="1440" w:hanging="731"/>
        <w:rPr>
          <w:rFonts w:ascii="Arial" w:cs="Arial" w:eastAsia="Arial" w:hAnsi="Arial"/>
          <w:color w:val="000000"/>
        </w:rPr>
      </w:pPr>
      <w:r w:rsidDel="00000000" w:rsidR="00000000" w:rsidRPr="00000000">
        <w:rPr>
          <w:rFonts w:ascii="Arial" w:cs="Arial" w:eastAsia="Arial" w:hAnsi="Arial"/>
          <w:color w:val="000000"/>
          <w:rtl w:val="0"/>
        </w:rPr>
        <w:t xml:space="preserve">subject to the conditions under sections 91 to 95 of the Pensions Act 1995.</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28 APPLICATION OF THE GENERAL FUND</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Trustees may at any time apply all or any part of the General Fund:</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28.1 to create or augment any Individual Fund or otherwise provide new or increased Benefits for any person;</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28.2 to pay any of the costs, fees, charges and expenses in connection with the SSAS which are outstanding;</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9 PRESERVATION</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30 PENSION SHARING</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30.1 The Trustees must discharge any liability in respect of a person who acquires a </w:t>
      </w:r>
      <w:r w:rsidDel="00000000" w:rsidR="00000000" w:rsidRPr="00000000">
        <w:rPr>
          <w:rFonts w:ascii="Arial" w:cs="Arial" w:eastAsia="Arial" w:hAnsi="Arial"/>
          <w:b w:val="1"/>
          <w:i w:val="1"/>
          <w:color w:val="000000"/>
          <w:rtl w:val="0"/>
        </w:rPr>
        <w:t xml:space="preserve">pension credit by:</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30.1.1 making a transfer payment for that person to another registered pension </w:t>
      </w:r>
      <w:r w:rsidDel="00000000" w:rsidR="00000000" w:rsidRPr="00000000">
        <w:rPr>
          <w:rFonts w:ascii="Arial" w:cs="Arial" w:eastAsia="Arial" w:hAnsi="Arial"/>
          <w:b w:val="1"/>
          <w:i w:val="1"/>
          <w:color w:val="000000"/>
          <w:rtl w:val="0"/>
        </w:rPr>
        <w:t xml:space="preserve">scheme or qualifying recognised overseas pension scheme of an amount equal in value to that pension credit; or</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31 BUYING-OUT BENEFITS</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31.1 The Trustees may at any time:</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31.1.2 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on such terms as the Trustees think fit.</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32 WINDING-UP</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32.1 This Rule 32 applies:</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32.1.1 if the Trustees so resolve; or</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32.1.2 on the hundred and twenty-fourth anniversary of the date of the establishment of the SSAS.</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32.2 When this Rule 32 applies:</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32.2.1 the Trustees will wind-up the SSAS;</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32.2.2 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32.3 When this Rule 32 applies, the Trustees must apply:</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32.3.1 any General Fund under Rule 28;</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32.3.2 each Individual Fund as follows and in the following order to:</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pay actual or anticipated costs, fees, charges and expenses in connection with the application of the Fund as the Trustees think fit;</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pay any lump sum death benefit under Rule 21 in respect of a death which occurred before this Rule 32 applies;</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32.4 The ways described in this Rule 32.4 are to:</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32.4.1 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32.4.2 pay a lump sum permitted by the lump sum rule;</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32.4.3 with the consent of the Member or Dependant to whom the Individual Fund in question relates, pay any lump sum other than as described in Rule 32.4.2; and</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32.4.4 make a transfer payment under Rule 23.1.2.</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32.5.1 assignment of any such policy or contract to the person to whom such policy or contract relates;</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32.5.2 securing of it under trust for the person to whom such policy or contract relates; or</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70"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32.5.3 assignment of any such policy or contract to another pension scheme.</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33 NOTICES</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34 DEFINITIONS AND INTERPRETATION</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34.1 In these rules unless the context requires otherwise:</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"Act" means Part 4 of the Finance Act 2004 and the schedules and any regulations relating to that Part.</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"Beneficiary" means a Member or any person who has a Benefit.</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"Benefit" means an actual or prospective entitlement to any benefit under the SSAS.</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"Dependant" in relation to a Member has the meaning that it has in the Act and, in particular, includes:</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(a) 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for the avoidance of doubt, a person who was married to the Member includes a person who is the opposite sex of or same sex as the Member.</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"Drawdown" means:</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in the case of a Member, drawdown pension; and</w:t>
        <w:br w:type="textWrapping"/>
        <w:t xml:space="preserve">(b) in the case of a Dependant, dependants' drawdown pension.</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"General Fund” means any part of the Fund which is not an Individual Fund.</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"HMRC" means HM Revenue &amp; Customs.</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in the case of a Member only, any contributions made by him and by any other person in respect of him;</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in the case of a Dependant only, the Individual Fund of the Member in question;</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(c) 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(d) any transfer payment under Rule 23.1.1 made to the SSAS in respect of him;</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270"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(e) any reallocation under Rule 22 or any allocation to the General Fund;</w:t>
        <w:br w:type="textWrapping"/>
        <w:t xml:space="preserve">(f) any pension credit or pension debit applicable to him.</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"Participating Employer" means the “Principal Employer” or any employer admitted under Rule 12.1.</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"Relative" in relation to an individual means:</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(a) 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an ancestor or a descendant (including a person who was adopted by and an unborn child) of such individual;</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(c) an ancestor or a descendant (including a person who was adopted by and an unborn child of) of a person described in paragraph (a) of this definition;</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(d) a brother or a sister of the individual and a descendant (including a person who was adopted by and an unborn child of) of such brother or sister;</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(e) 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"Rules" means these rules and any amendments or modifications to them.</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"Scheme Administrator" means the person appointed by the Trustees under Rule 11.</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"SSAS" is as defined in the Trust Deed.</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"Trust Deed" means the trust deed to which the Rules are attached.</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"Trustees" means the Trustees and any trustees from time to time of the SSAS.</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270"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"Uncrystallised Fund" means any part of an Individual Fund which has not been used to provide any Benefit.</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34.2 In the Rules:</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34.2.1 terms which appear in bold and italics have the meaning given to them for the purposes of the Act;</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34.2.2 references to legislation includes a modification to or a replacement for such legislation and any subsequent related legislation;</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34.2.3 indices and headings are included for convenience only and do not affect the interpretation of the Rules; and</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34.2.4 unless the context requires otherwise, references to the singular include the plural and vice versa and references to any gender include any other gender.</w:t>
      </w:r>
    </w:p>
    <w:p w:rsidR="00000000" w:rsidDel="00000000" w:rsidP="00000000" w:rsidRDefault="00000000" w:rsidRPr="00000000" w14:paraId="000001AA">
      <w:pPr>
        <w:rPr>
          <w:rFonts w:ascii="Arial" w:cs="Arial" w:eastAsia="Arial" w:hAnsi="Arial"/>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xZUpoRR+ikmyH32PfJ4DrO9SHw==">AMUW2mUPpU2ARsVqMdDSxFub8phashaGy6Izkb+x0jhAQJ4+eXuEzBXRCSJms8+B2FdvIowoSWQhtxdI3xCQKdzEFdq82MSMOvTK2MWo7K4E28EaptsY1/WC3nh705gTX0cqQzlK1AfmES95EuqxXfco4/qUJc23tMsBwgONbVSjKh4mPFdtCKNKBHsBmSLgKTVMUbSGSc28IpRiFZhwAVSZy7NQl0cXXLRfuJm6wG7VBQjPVq8rg8i/tYamTYwXf7NDJX+1xz7w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2019-09-11T14:57:00Z</dcterms:created>
  <dc:creator>Shelly</dc:creator>
</cp:coreProperties>
</file>