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95013B">
        <w:t xml:space="preserve">: 7 April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BF7508" w:rsidRPr="00BF7508">
        <w:t>PENELOPE JANE BAILEY</w:t>
      </w:r>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4E7D55">
        <w:t>BESPOKE PENSION SERVICES LIMITED</w:t>
      </w:r>
      <w:r w:rsidR="004E7D55">
        <w:tab/>
      </w:r>
      <w:r w:rsidR="008A7EE4" w:rsidRPr="00A40112">
        <w:t>(SUPPLIER)</w:t>
      </w:r>
    </w:p>
    <w:p w:rsidR="00485C0C" w:rsidRDefault="0095013B"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BF7508" w:rsidRPr="00BF7508">
        <w:t>WADT PENSION SCHEME</w:t>
      </w:r>
    </w:p>
    <w:p w:rsidR="00485C0C" w:rsidRDefault="0095013B"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headerReference w:type="first" r:id="rId9"/>
          <w:pgSz w:w="11906" w:h="16838" w:code="9"/>
          <w:pgMar w:top="1077" w:right="1440" w:bottom="2381" w:left="1440" w:header="403" w:footer="204" w:gutter="0"/>
          <w:paperSrc w:first="269" w:other="269"/>
          <w:pgNumType w:start="0"/>
          <w:cols w:space="720"/>
          <w:titlePg/>
          <w:docGrid w:linePitch="272"/>
        </w:sectPr>
      </w:pP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F91379">
        <w:rPr>
          <w:rFonts w:cs="Arial"/>
        </w:rPr>
        <w:t xml:space="preserve"> </w:t>
      </w:r>
      <w:r w:rsidR="0095013B">
        <w:rPr>
          <w:rFonts w:cs="Arial"/>
        </w:rPr>
        <w:t xml:space="preserve">7 April </w:t>
      </w:r>
      <w:bookmarkStart w:id="0" w:name="_GoBack"/>
      <w:bookmarkEnd w:id="0"/>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BF7508" w:rsidP="00BF7508">
      <w:pPr>
        <w:pStyle w:val="Parties"/>
      </w:pPr>
      <w:bookmarkStart w:id="1" w:name="_Ref74538200"/>
      <w:r w:rsidRPr="00BF7508">
        <w:rPr>
          <w:rFonts w:cs="Arial"/>
          <w:bCs/>
        </w:rPr>
        <w:t xml:space="preserve">PENELOPE JANE </w:t>
      </w:r>
      <w:proofErr w:type="spellStart"/>
      <w:r w:rsidRPr="00BF7508">
        <w:rPr>
          <w:rFonts w:cs="Arial"/>
          <w:bCs/>
        </w:rPr>
        <w:t>BAILEY</w:t>
      </w:r>
      <w:r w:rsidR="00485C0C" w:rsidRPr="00A939D7">
        <w:t>of</w:t>
      </w:r>
      <w:proofErr w:type="spellEnd"/>
      <w:r w:rsidR="008D27F6">
        <w:t xml:space="preserve"> </w:t>
      </w:r>
      <w:r w:rsidRPr="00BF7508">
        <w:t xml:space="preserve">49 Vicarage Road, Cheney Manor, Swindon, SN2 1JH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1"/>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BF7508" w:rsidRPr="00BF7508">
        <w:rPr>
          <w:rFonts w:ascii="Arial" w:hAnsi="Arial" w:cs="Arial"/>
        </w:rPr>
        <w:t>WADT Pension Scheme</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lastRenderedPageBreak/>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lastRenderedPageBreak/>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030A8D">
        <w:rPr>
          <w:rFonts w:ascii="Arial" w:hAnsi="Arial" w:cs="Arial"/>
        </w:rPr>
        <w:t>800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0F077C">
        <w:rPr>
          <w:rFonts w:ascii="Arial" w:hAnsi="Arial" w:cs="Arial"/>
        </w:rPr>
        <w:t>800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D46377">
    <w:pPr>
      <w:pStyle w:val="Heade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662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0A8D"/>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077C"/>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013B"/>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BF7508"/>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v:textbox inset="0,0,0,0"/>
    </o:shapedefaults>
    <o:shapelayout v:ext="edit">
      <o:idmap v:ext="edit" data="1"/>
    </o:shapelayout>
  </w:shapeDefaults>
  <w:decimalSymbol w:val="."/>
  <w:listSeparator w:val=","/>
  <w15:docId w15:val="{400B2217-B3B8-421F-BB8D-3A3DF78D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15</Pages>
  <Words>5224</Words>
  <Characters>29781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14</cp:revision>
  <cp:lastPrinted>2014-04-23T10:46:00Z</cp:lastPrinted>
  <dcterms:created xsi:type="dcterms:W3CDTF">2013-12-03T13:28:00Z</dcterms:created>
  <dcterms:modified xsi:type="dcterms:W3CDTF">2014-04-23T11:04:00Z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