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Lee Daniel Wells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23 Cranleigh Road</w:t>
      </w:r>
    </w:p>
    <w:p w:rsidR="00000000" w:rsidDel="00000000" w:rsidP="00000000" w:rsidRDefault="00000000" w:rsidRPr="00000000" w14:paraId="00000004">
      <w:pPr>
        <w:spacing w:after="0" w:line="240" w:lineRule="auto"/>
        <w:jc w:val="right"/>
        <w:rPr>
          <w:rFonts w:ascii="Arial" w:cs="Arial" w:eastAsia="Arial" w:hAnsi="Arial"/>
        </w:rPr>
      </w:pPr>
      <w:r w:rsidDel="00000000" w:rsidR="00000000" w:rsidRPr="00000000">
        <w:rPr>
          <w:rFonts w:ascii="Arial" w:cs="Arial" w:eastAsia="Arial" w:hAnsi="Arial"/>
          <w:rtl w:val="0"/>
        </w:rPr>
        <w:t xml:space="preserve">Woodthorpe</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Mastin Moor</w:t>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Chesterfield</w:t>
      </w:r>
    </w:p>
    <w:p w:rsidR="00000000" w:rsidDel="00000000" w:rsidP="00000000" w:rsidRDefault="00000000" w:rsidRPr="00000000" w14:paraId="00000007">
      <w:pPr>
        <w:spacing w:after="0" w:line="240" w:lineRule="auto"/>
        <w:jc w:val="right"/>
        <w:rPr>
          <w:rFonts w:ascii="Arial" w:cs="Arial" w:eastAsia="Arial" w:hAnsi="Arial"/>
          <w:color w:val="ff0000"/>
        </w:rPr>
      </w:pPr>
      <w:r w:rsidDel="00000000" w:rsidR="00000000" w:rsidRPr="00000000">
        <w:rPr>
          <w:rFonts w:ascii="Arial" w:cs="Arial" w:eastAsia="Arial" w:hAnsi="Arial"/>
          <w:rtl w:val="0"/>
        </w:rPr>
        <w:t xml:space="preserve">S43 3BH</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ff0000"/>
        </w:rPr>
      </w:pPr>
      <w:bookmarkStart w:colFirst="0" w:colLast="0" w:name="_heading=h.gjdgxs" w:id="3"/>
      <w:bookmarkEnd w:id="3"/>
      <w:r w:rsidDel="00000000" w:rsidR="00000000" w:rsidRPr="00000000">
        <w:rPr>
          <w:rFonts w:ascii="Arial" w:cs="Arial" w:eastAsia="Arial" w:hAnsi="Arial"/>
          <w:rtl w:val="0"/>
        </w:rPr>
        <w:t xml:space="preserve">Lee Daniel Wells</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Lee,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Wells Family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gE4+f7c/cok1tKq9xqwq7qMSw==">CgMxLjAyCWguMzBqMHpsbDIJaC4xZm9iOXRlMg5oLmJ5eTg5OHZtbnZ5ODIIaC5namRneHMyCWguM3pueXNoNzIJaC4yZXQ5MnAwMg5oLmFlZnVidTE1N2NyMDgAciExMWZ4VnBvSFdIQ3E2dEZfeDdXbVF0ZllaYWh6eU9MNU0=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