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DB137" w14:textId="1A954AB3" w:rsidR="006F15DB" w:rsidRDefault="00985888" w:rsidP="006F15DB">
      <w:pPr>
        <w:rPr>
          <w:szCs w:val="22"/>
        </w:rPr>
      </w:pPr>
      <w:r>
        <w:rPr>
          <w:noProof/>
        </w:rPr>
        <w:drawing>
          <wp:anchor distT="0" distB="0" distL="114300" distR="114300" simplePos="0" relativeHeight="251658240" behindDoc="1" locked="0" layoutInCell="1" allowOverlap="1" wp14:anchorId="4C7C738B" wp14:editId="513D58D5">
            <wp:simplePos x="0" y="0"/>
            <wp:positionH relativeFrom="column">
              <wp:posOffset>4543425</wp:posOffset>
            </wp:positionH>
            <wp:positionV relativeFrom="page">
              <wp:posOffset>222250</wp:posOffset>
            </wp:positionV>
            <wp:extent cx="1914525" cy="2670175"/>
            <wp:effectExtent l="0" t="0" r="9525" b="0"/>
            <wp:wrapTight wrapText="bothSides">
              <wp:wrapPolygon edited="0">
                <wp:start x="0" y="0"/>
                <wp:lineTo x="0" y="21420"/>
                <wp:lineTo x="21493" y="21420"/>
                <wp:lineTo x="2149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670175"/>
                    </a:xfrm>
                    <a:prstGeom prst="rect">
                      <a:avLst/>
                    </a:prstGeom>
                    <a:noFill/>
                  </pic:spPr>
                </pic:pic>
              </a:graphicData>
            </a:graphic>
            <wp14:sizeRelH relativeFrom="page">
              <wp14:pctWidth>0</wp14:pctWidth>
            </wp14:sizeRelH>
            <wp14:sizeRelV relativeFrom="page">
              <wp14:pctHeight>0</wp14:pctHeight>
            </wp14:sizeRelV>
          </wp:anchor>
        </w:drawing>
      </w:r>
    </w:p>
    <w:p w14:paraId="62B46E55" w14:textId="5BBAF4CE" w:rsidR="006F15DB" w:rsidRDefault="006F15DB" w:rsidP="006F15DB">
      <w:pPr>
        <w:ind w:left="-993" w:firstLine="284"/>
      </w:pPr>
      <w:r>
        <w:t>Our Ref:</w:t>
      </w:r>
      <w:r>
        <w:tab/>
      </w:r>
      <w:r w:rsidR="002813A5">
        <w:t>NG/JN/J516.1</w:t>
      </w:r>
      <w:r w:rsidR="00411062">
        <w:t>6</w:t>
      </w:r>
      <w:r>
        <w:tab/>
      </w:r>
      <w:r>
        <w:tab/>
        <w:t>VAT Reg. No.:   GB 272 4190 66</w:t>
      </w:r>
    </w:p>
    <w:p w14:paraId="3EF9AD89" w14:textId="1525FE8D" w:rsidR="006F15DB" w:rsidRDefault="006F15DB" w:rsidP="006F15DB"/>
    <w:p w14:paraId="0B8347E0" w14:textId="5A0986E7" w:rsidR="006F15DB" w:rsidRDefault="006F15DB" w:rsidP="006F15DB">
      <w:pPr>
        <w:ind w:left="-993" w:firstLine="284"/>
      </w:pPr>
      <w:r>
        <w:t>Date:</w:t>
      </w:r>
      <w:r>
        <w:tab/>
      </w:r>
      <w:r>
        <w:tab/>
      </w:r>
      <w:r>
        <w:tab/>
      </w:r>
      <w:r>
        <w:tab/>
      </w:r>
      <w:r>
        <w:tab/>
      </w:r>
      <w:r>
        <w:tab/>
        <w:t>No.:</w:t>
      </w:r>
    </w:p>
    <w:p w14:paraId="46690D74" w14:textId="2499F454" w:rsidR="006F15DB" w:rsidRDefault="006F15DB" w:rsidP="006F15DB">
      <w:pPr>
        <w:ind w:left="-993" w:firstLine="284"/>
      </w:pPr>
    </w:p>
    <w:p w14:paraId="4735F401" w14:textId="19E9C717" w:rsidR="006F15DB" w:rsidRDefault="006F15DB" w:rsidP="006F15DB">
      <w:pPr>
        <w:ind w:left="-993" w:firstLine="284"/>
      </w:pPr>
      <w:r>
        <w:t>To:</w:t>
      </w:r>
      <w:r w:rsidR="002813A5">
        <w:tab/>
      </w:r>
      <w:r w:rsidR="002813A5">
        <w:tab/>
        <w:t xml:space="preserve">JVAM Ltd </w:t>
      </w:r>
    </w:p>
    <w:p w14:paraId="7BDEB489" w14:textId="77777777" w:rsidR="006F15DB" w:rsidRDefault="006F15DB" w:rsidP="006F15DB">
      <w:pPr>
        <w:ind w:left="-993" w:firstLine="284"/>
      </w:pPr>
    </w:p>
    <w:p w14:paraId="29C0D45F" w14:textId="10E92823" w:rsidR="006F15DB" w:rsidRPr="002813A5" w:rsidRDefault="006F15DB" w:rsidP="006F15DB">
      <w:pPr>
        <w:ind w:left="-993" w:firstLine="284"/>
        <w:rPr>
          <w:b/>
        </w:rPr>
      </w:pPr>
      <w:r>
        <w:t>Re:</w:t>
      </w:r>
      <w:r w:rsidR="002813A5">
        <w:tab/>
      </w:r>
      <w:r w:rsidR="002813A5">
        <w:tab/>
      </w:r>
      <w:r w:rsidR="002813A5">
        <w:rPr>
          <w:b/>
        </w:rPr>
        <w:t xml:space="preserve">Transfer of Parking Space at </w:t>
      </w:r>
      <w:r w:rsidR="00411062">
        <w:rPr>
          <w:b/>
        </w:rPr>
        <w:t xml:space="preserve">2A </w:t>
      </w:r>
      <w:proofErr w:type="spellStart"/>
      <w:r w:rsidR="00411062">
        <w:rPr>
          <w:b/>
        </w:rPr>
        <w:t>Shi</w:t>
      </w:r>
      <w:bookmarkStart w:id="0" w:name="_GoBack"/>
      <w:bookmarkEnd w:id="0"/>
      <w:r w:rsidR="00411062">
        <w:rPr>
          <w:b/>
        </w:rPr>
        <w:t>eldhall</w:t>
      </w:r>
      <w:proofErr w:type="spellEnd"/>
      <w:r w:rsidR="00411062">
        <w:rPr>
          <w:b/>
        </w:rPr>
        <w:t xml:space="preserve"> Street </w:t>
      </w:r>
    </w:p>
    <w:p w14:paraId="65A009DD" w14:textId="77777777" w:rsidR="006F15DB" w:rsidRDefault="006F15DB" w:rsidP="006F15DB">
      <w:pPr>
        <w:ind w:left="-993" w:firstLine="284"/>
      </w:pPr>
    </w:p>
    <w:p w14:paraId="47A75CD2" w14:textId="77777777" w:rsidR="006F15DB" w:rsidRDefault="006F15DB" w:rsidP="006F15DB">
      <w:pPr>
        <w:ind w:left="-993" w:firstLine="284"/>
      </w:pPr>
    </w:p>
    <w:p w14:paraId="7AA0AF97" w14:textId="77777777" w:rsidR="006F15DB" w:rsidRDefault="006F15DB" w:rsidP="006F15DB">
      <w:pPr>
        <w:ind w:left="-993" w:firstLine="284"/>
      </w:pPr>
    </w:p>
    <w:p w14:paraId="017D22C1" w14:textId="77777777" w:rsidR="006F15DB" w:rsidRDefault="006F15DB" w:rsidP="006F15DB">
      <w:pPr>
        <w:ind w:left="-993" w:firstLine="284"/>
      </w:pPr>
    </w:p>
    <w:tbl>
      <w:tblPr>
        <w:tblpPr w:leftFromText="180" w:rightFromText="180" w:bottomFromText="160" w:vertAnchor="page" w:horzAnchor="margin" w:tblpXSpec="center" w:tblpY="549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1229"/>
        <w:gridCol w:w="1417"/>
        <w:gridCol w:w="866"/>
        <w:gridCol w:w="1168"/>
      </w:tblGrid>
      <w:tr w:rsidR="006F15DB" w14:paraId="7406D90D" w14:textId="77777777" w:rsidTr="002813A5">
        <w:tc>
          <w:tcPr>
            <w:tcW w:w="5444" w:type="dxa"/>
            <w:tcBorders>
              <w:top w:val="nil"/>
              <w:left w:val="nil"/>
              <w:bottom w:val="single" w:sz="4" w:space="0" w:color="auto"/>
              <w:right w:val="single" w:sz="4" w:space="0" w:color="auto"/>
            </w:tcBorders>
          </w:tcPr>
          <w:p w14:paraId="38AAF2FF" w14:textId="77777777" w:rsidR="006F15DB" w:rsidRDefault="006F15DB">
            <w:pPr>
              <w:ind w:left="-250" w:firstLine="250"/>
            </w:pPr>
          </w:p>
        </w:tc>
        <w:tc>
          <w:tcPr>
            <w:tcW w:w="1230" w:type="dxa"/>
            <w:tcBorders>
              <w:top w:val="single" w:sz="4" w:space="0" w:color="auto"/>
              <w:left w:val="single" w:sz="4" w:space="0" w:color="auto"/>
              <w:bottom w:val="single" w:sz="4" w:space="0" w:color="auto"/>
              <w:right w:val="single" w:sz="4" w:space="0" w:color="auto"/>
            </w:tcBorders>
            <w:hideMark/>
          </w:tcPr>
          <w:p w14:paraId="1138F2EA" w14:textId="77777777" w:rsidR="006F15DB" w:rsidRDefault="006F15DB">
            <w:pPr>
              <w:pStyle w:val="Heading1"/>
              <w:tabs>
                <w:tab w:val="left" w:pos="720"/>
              </w:tabs>
              <w:spacing w:line="256" w:lineRule="auto"/>
              <w:rPr>
                <w:rFonts w:ascii="Times New Roman" w:hAnsi="Times New Roman"/>
                <w:bCs/>
                <w:sz w:val="24"/>
                <w:szCs w:val="22"/>
              </w:rPr>
            </w:pPr>
            <w:r>
              <w:rPr>
                <w:rFonts w:ascii="Times New Roman" w:hAnsi="Times New Roman"/>
                <w:bCs/>
                <w:sz w:val="24"/>
                <w:szCs w:val="22"/>
              </w:rPr>
              <w:t>Costs</w:t>
            </w:r>
          </w:p>
        </w:tc>
        <w:tc>
          <w:tcPr>
            <w:tcW w:w="1420" w:type="dxa"/>
            <w:tcBorders>
              <w:top w:val="single" w:sz="4" w:space="0" w:color="auto"/>
              <w:left w:val="single" w:sz="4" w:space="0" w:color="auto"/>
              <w:bottom w:val="single" w:sz="4" w:space="0" w:color="auto"/>
              <w:right w:val="single" w:sz="4" w:space="0" w:color="auto"/>
            </w:tcBorders>
            <w:hideMark/>
          </w:tcPr>
          <w:p w14:paraId="50CBA484" w14:textId="77777777" w:rsidR="006F15DB" w:rsidRDefault="006F15DB">
            <w:pPr>
              <w:pStyle w:val="Heading1"/>
              <w:tabs>
                <w:tab w:val="left" w:pos="720"/>
              </w:tabs>
              <w:spacing w:line="256" w:lineRule="auto"/>
              <w:rPr>
                <w:rFonts w:ascii="Times New Roman" w:hAnsi="Times New Roman"/>
                <w:bCs/>
                <w:sz w:val="24"/>
                <w:szCs w:val="22"/>
              </w:rPr>
            </w:pPr>
            <w:proofErr w:type="spellStart"/>
            <w:r>
              <w:rPr>
                <w:rFonts w:ascii="Times New Roman" w:hAnsi="Times New Roman"/>
                <w:bCs/>
                <w:sz w:val="24"/>
                <w:szCs w:val="22"/>
              </w:rPr>
              <w:t>Disbs</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2F734DEC" w14:textId="77777777" w:rsidR="006F15DB" w:rsidRDefault="006F15DB">
            <w:pPr>
              <w:rPr>
                <w:b/>
                <w:bCs/>
                <w:szCs w:val="22"/>
                <w:u w:val="single"/>
              </w:rPr>
            </w:pPr>
            <w:r>
              <w:rPr>
                <w:b/>
                <w:bCs/>
                <w:u w:val="single"/>
              </w:rPr>
              <w:t>%</w:t>
            </w:r>
          </w:p>
        </w:tc>
        <w:tc>
          <w:tcPr>
            <w:tcW w:w="1103" w:type="dxa"/>
            <w:tcBorders>
              <w:top w:val="single" w:sz="4" w:space="0" w:color="auto"/>
              <w:left w:val="single" w:sz="4" w:space="0" w:color="auto"/>
              <w:bottom w:val="single" w:sz="4" w:space="0" w:color="auto"/>
              <w:right w:val="single" w:sz="4" w:space="0" w:color="auto"/>
            </w:tcBorders>
            <w:hideMark/>
          </w:tcPr>
          <w:p w14:paraId="758114C6" w14:textId="77777777" w:rsidR="006F15DB" w:rsidRDefault="006F15DB">
            <w:pPr>
              <w:pStyle w:val="Heading1"/>
              <w:tabs>
                <w:tab w:val="left" w:pos="720"/>
              </w:tabs>
              <w:spacing w:line="256" w:lineRule="auto"/>
              <w:rPr>
                <w:rFonts w:ascii="Times New Roman" w:hAnsi="Times New Roman"/>
                <w:bCs/>
                <w:sz w:val="24"/>
                <w:szCs w:val="22"/>
              </w:rPr>
            </w:pPr>
            <w:r>
              <w:rPr>
                <w:rFonts w:ascii="Times New Roman" w:hAnsi="Times New Roman"/>
                <w:bCs/>
                <w:sz w:val="24"/>
                <w:szCs w:val="22"/>
              </w:rPr>
              <w:t>VAT</w:t>
            </w:r>
          </w:p>
        </w:tc>
      </w:tr>
      <w:tr w:rsidR="006F15DB" w14:paraId="17B847AB" w14:textId="77777777" w:rsidTr="002813A5">
        <w:tc>
          <w:tcPr>
            <w:tcW w:w="5444" w:type="dxa"/>
            <w:tcBorders>
              <w:top w:val="single" w:sz="4" w:space="0" w:color="auto"/>
              <w:left w:val="single" w:sz="4" w:space="0" w:color="auto"/>
              <w:bottom w:val="single" w:sz="4" w:space="0" w:color="auto"/>
              <w:right w:val="single" w:sz="4" w:space="0" w:color="auto"/>
            </w:tcBorders>
          </w:tcPr>
          <w:p w14:paraId="45C1C1EE" w14:textId="541D15FD" w:rsidR="00553083" w:rsidRPr="006C11E7" w:rsidRDefault="00553083" w:rsidP="00553083">
            <w:pPr>
              <w:tabs>
                <w:tab w:val="decimal" w:pos="6192"/>
                <w:tab w:val="decimal" w:pos="6912"/>
                <w:tab w:val="decimal" w:pos="8640"/>
              </w:tabs>
              <w:jc w:val="both"/>
            </w:pPr>
            <w:r w:rsidRPr="006C11E7">
              <w:rPr>
                <w:b/>
                <w:bCs/>
              </w:rPr>
              <w:t>To legal costs</w:t>
            </w:r>
            <w:r w:rsidRPr="006C11E7">
              <w:t xml:space="preserve"> in connection with your </w:t>
            </w:r>
            <w:r w:rsidR="002813A5">
              <w:t>transfer of the above property</w:t>
            </w:r>
            <w:r w:rsidRPr="006C11E7">
              <w:t xml:space="preserve"> and to the supply of legal services in connection therewith; including all telephone calls, letters and general attendances on your behalf throughout. </w:t>
            </w:r>
          </w:p>
          <w:p w14:paraId="3539AB31" w14:textId="77777777" w:rsidR="00553083" w:rsidRPr="006C11E7" w:rsidRDefault="00553083" w:rsidP="00553083">
            <w:pPr>
              <w:jc w:val="both"/>
            </w:pPr>
          </w:p>
          <w:p w14:paraId="00694794" w14:textId="77777777" w:rsidR="006F15DB" w:rsidRDefault="00553083" w:rsidP="00553083">
            <w:pPr>
              <w:jc w:val="both"/>
            </w:pPr>
            <w:r w:rsidRPr="006C11E7">
              <w:t>Bank Administration Fee</w:t>
            </w:r>
          </w:p>
        </w:tc>
        <w:tc>
          <w:tcPr>
            <w:tcW w:w="1230" w:type="dxa"/>
            <w:tcBorders>
              <w:top w:val="single" w:sz="4" w:space="0" w:color="auto"/>
              <w:left w:val="single" w:sz="4" w:space="0" w:color="auto"/>
              <w:bottom w:val="single" w:sz="4" w:space="0" w:color="auto"/>
              <w:right w:val="single" w:sz="4" w:space="0" w:color="auto"/>
            </w:tcBorders>
          </w:tcPr>
          <w:p w14:paraId="61EBA4E6" w14:textId="77777777" w:rsidR="006F15DB" w:rsidRDefault="006F15DB">
            <w:pPr>
              <w:tabs>
                <w:tab w:val="decimal" w:pos="651"/>
              </w:tabs>
            </w:pPr>
          </w:p>
          <w:p w14:paraId="2821E4DF" w14:textId="77777777" w:rsidR="006F15DB" w:rsidRDefault="006F15DB">
            <w:pPr>
              <w:tabs>
                <w:tab w:val="decimal" w:pos="651"/>
              </w:tabs>
            </w:pPr>
          </w:p>
          <w:p w14:paraId="375614A8" w14:textId="77777777" w:rsidR="006F15DB" w:rsidRDefault="006F15DB">
            <w:pPr>
              <w:tabs>
                <w:tab w:val="decimal" w:pos="651"/>
              </w:tabs>
            </w:pPr>
          </w:p>
          <w:p w14:paraId="7C633C1B" w14:textId="77777777" w:rsidR="006F15DB" w:rsidRDefault="006F15DB">
            <w:pPr>
              <w:tabs>
                <w:tab w:val="decimal" w:pos="651"/>
              </w:tabs>
            </w:pPr>
          </w:p>
          <w:p w14:paraId="0605D82A" w14:textId="5E997723" w:rsidR="006F15DB" w:rsidRDefault="006F15DB">
            <w:pPr>
              <w:tabs>
                <w:tab w:val="decimal" w:pos="651"/>
              </w:tabs>
            </w:pPr>
            <w:r>
              <w:t>£</w:t>
            </w:r>
            <w:r w:rsidR="002813A5">
              <w:t>500.00</w:t>
            </w:r>
          </w:p>
          <w:p w14:paraId="29427C94" w14:textId="77777777" w:rsidR="00553083" w:rsidRDefault="00553083">
            <w:pPr>
              <w:tabs>
                <w:tab w:val="decimal" w:pos="651"/>
              </w:tabs>
            </w:pPr>
          </w:p>
          <w:p w14:paraId="76B211E1" w14:textId="29FE20AC" w:rsidR="00553083" w:rsidRDefault="00553083">
            <w:pPr>
              <w:tabs>
                <w:tab w:val="decimal" w:pos="651"/>
              </w:tabs>
            </w:pPr>
            <w:r>
              <w:t>£</w:t>
            </w:r>
            <w:r w:rsidR="00E46CAA">
              <w:t>35</w:t>
            </w:r>
            <w:r>
              <w:t>.00</w:t>
            </w:r>
          </w:p>
        </w:tc>
        <w:tc>
          <w:tcPr>
            <w:tcW w:w="1420" w:type="dxa"/>
            <w:tcBorders>
              <w:top w:val="single" w:sz="4" w:space="0" w:color="auto"/>
              <w:left w:val="single" w:sz="4" w:space="0" w:color="auto"/>
              <w:bottom w:val="single" w:sz="4" w:space="0" w:color="auto"/>
              <w:right w:val="single" w:sz="4" w:space="0" w:color="auto"/>
            </w:tcBorders>
          </w:tcPr>
          <w:p w14:paraId="2864D5F5" w14:textId="77777777" w:rsidR="006F15DB" w:rsidRDefault="006F15DB">
            <w:pPr>
              <w:tabs>
                <w:tab w:val="decimal" w:pos="651"/>
              </w:tabs>
            </w:pPr>
          </w:p>
          <w:p w14:paraId="3F70DD2A" w14:textId="77777777" w:rsidR="006F15DB" w:rsidRDefault="006F15DB">
            <w:pPr>
              <w:tabs>
                <w:tab w:val="decimal" w:pos="651"/>
              </w:tabs>
            </w:pPr>
          </w:p>
          <w:p w14:paraId="67E160D5" w14:textId="77777777" w:rsidR="006F15DB" w:rsidRDefault="006F15DB">
            <w:pPr>
              <w:tabs>
                <w:tab w:val="decimal" w:pos="651"/>
              </w:tabs>
            </w:pPr>
          </w:p>
          <w:p w14:paraId="4C4CBDA5" w14:textId="77777777" w:rsidR="006F15DB" w:rsidRDefault="006F15DB">
            <w:pPr>
              <w:tabs>
                <w:tab w:val="decimal" w:pos="651"/>
              </w:tabs>
            </w:pPr>
          </w:p>
          <w:p w14:paraId="37143CDB" w14:textId="77777777" w:rsidR="006F15DB" w:rsidRDefault="006F15DB">
            <w:pPr>
              <w:tabs>
                <w:tab w:val="decimal" w:pos="651"/>
              </w:tabs>
            </w:pPr>
          </w:p>
          <w:p w14:paraId="1E6F7633" w14:textId="77777777" w:rsidR="006F15DB" w:rsidRDefault="006F15DB">
            <w:pPr>
              <w:tabs>
                <w:tab w:val="decimal" w:pos="651"/>
              </w:tabs>
            </w:pPr>
          </w:p>
          <w:p w14:paraId="351657CC" w14:textId="77777777" w:rsidR="006F15DB" w:rsidRDefault="006F15DB">
            <w:pPr>
              <w:tabs>
                <w:tab w:val="decimal" w:pos="651"/>
              </w:tabs>
            </w:pPr>
          </w:p>
          <w:p w14:paraId="3532FBB6" w14:textId="77777777" w:rsidR="006F15DB" w:rsidRDefault="006F15DB">
            <w:pPr>
              <w:tabs>
                <w:tab w:val="decimal" w:pos="651"/>
              </w:tabs>
            </w:pPr>
          </w:p>
        </w:tc>
        <w:tc>
          <w:tcPr>
            <w:tcW w:w="868" w:type="dxa"/>
            <w:tcBorders>
              <w:top w:val="single" w:sz="4" w:space="0" w:color="auto"/>
              <w:left w:val="single" w:sz="4" w:space="0" w:color="auto"/>
              <w:bottom w:val="single" w:sz="4" w:space="0" w:color="auto"/>
              <w:right w:val="single" w:sz="4" w:space="0" w:color="auto"/>
            </w:tcBorders>
          </w:tcPr>
          <w:p w14:paraId="7FEF3D58" w14:textId="77777777" w:rsidR="006F15DB" w:rsidRDefault="006F15DB">
            <w:pPr>
              <w:ind w:left="82" w:right="-240"/>
              <w:jc w:val="center"/>
            </w:pPr>
          </w:p>
          <w:p w14:paraId="18115D12" w14:textId="77777777" w:rsidR="006F15DB" w:rsidRDefault="006F15DB">
            <w:pPr>
              <w:ind w:left="82" w:right="-240"/>
              <w:jc w:val="center"/>
            </w:pPr>
          </w:p>
          <w:p w14:paraId="6D2C3801" w14:textId="77777777" w:rsidR="006F15DB" w:rsidRDefault="006F15DB" w:rsidP="00553083">
            <w:pPr>
              <w:ind w:right="-240"/>
            </w:pPr>
          </w:p>
          <w:p w14:paraId="546D6E9B" w14:textId="77777777" w:rsidR="006F15DB" w:rsidRDefault="006F15DB">
            <w:pPr>
              <w:ind w:left="82" w:right="-240"/>
            </w:pPr>
          </w:p>
          <w:p w14:paraId="05390E0C" w14:textId="77777777" w:rsidR="006F15DB" w:rsidRDefault="006F15DB">
            <w:pPr>
              <w:ind w:left="82" w:right="-240"/>
            </w:pPr>
            <w:r>
              <w:t>20%</w:t>
            </w:r>
          </w:p>
          <w:p w14:paraId="78DC9EC0" w14:textId="77777777" w:rsidR="00553083" w:rsidRDefault="00553083">
            <w:pPr>
              <w:ind w:left="82" w:right="-240"/>
            </w:pPr>
          </w:p>
          <w:p w14:paraId="42C31506" w14:textId="77777777" w:rsidR="00553083" w:rsidRDefault="00553083">
            <w:pPr>
              <w:ind w:left="82" w:right="-240"/>
            </w:pPr>
            <w:r>
              <w:t>20%</w:t>
            </w:r>
          </w:p>
        </w:tc>
        <w:tc>
          <w:tcPr>
            <w:tcW w:w="1103" w:type="dxa"/>
            <w:tcBorders>
              <w:top w:val="single" w:sz="4" w:space="0" w:color="auto"/>
              <w:left w:val="single" w:sz="4" w:space="0" w:color="auto"/>
              <w:bottom w:val="single" w:sz="4" w:space="0" w:color="auto"/>
              <w:right w:val="single" w:sz="4" w:space="0" w:color="auto"/>
            </w:tcBorders>
          </w:tcPr>
          <w:p w14:paraId="510A68F6" w14:textId="77777777" w:rsidR="006F15DB" w:rsidRDefault="006F15DB">
            <w:pPr>
              <w:tabs>
                <w:tab w:val="decimal" w:pos="651"/>
              </w:tabs>
            </w:pPr>
          </w:p>
          <w:p w14:paraId="176980C8" w14:textId="77777777" w:rsidR="006F15DB" w:rsidRDefault="006F15DB">
            <w:pPr>
              <w:tabs>
                <w:tab w:val="decimal" w:pos="651"/>
              </w:tabs>
            </w:pPr>
          </w:p>
          <w:p w14:paraId="457E4336" w14:textId="77777777" w:rsidR="006F15DB" w:rsidRDefault="006F15DB">
            <w:pPr>
              <w:tabs>
                <w:tab w:val="decimal" w:pos="651"/>
              </w:tabs>
            </w:pPr>
          </w:p>
          <w:p w14:paraId="17E53E32" w14:textId="77777777" w:rsidR="006F15DB" w:rsidRDefault="006F15DB">
            <w:pPr>
              <w:tabs>
                <w:tab w:val="decimal" w:pos="651"/>
              </w:tabs>
            </w:pPr>
          </w:p>
          <w:p w14:paraId="508FB3E5" w14:textId="7FC8DBC9" w:rsidR="006F15DB" w:rsidRDefault="006F15DB">
            <w:pPr>
              <w:tabs>
                <w:tab w:val="decimal" w:pos="651"/>
              </w:tabs>
            </w:pPr>
            <w:r>
              <w:t>£</w:t>
            </w:r>
            <w:r w:rsidR="002813A5">
              <w:t>1</w:t>
            </w:r>
            <w:r>
              <w:t>00.00</w:t>
            </w:r>
          </w:p>
          <w:p w14:paraId="33F526B8" w14:textId="77777777" w:rsidR="00553083" w:rsidRDefault="00553083">
            <w:pPr>
              <w:tabs>
                <w:tab w:val="decimal" w:pos="651"/>
              </w:tabs>
            </w:pPr>
          </w:p>
          <w:p w14:paraId="5EDB221B" w14:textId="2850B59D" w:rsidR="00553083" w:rsidRDefault="00553083">
            <w:pPr>
              <w:tabs>
                <w:tab w:val="decimal" w:pos="651"/>
              </w:tabs>
            </w:pPr>
            <w:r>
              <w:t>£</w:t>
            </w:r>
            <w:r w:rsidR="00E46CAA">
              <w:t>7</w:t>
            </w:r>
            <w:r>
              <w:t>.00</w:t>
            </w:r>
          </w:p>
        </w:tc>
      </w:tr>
      <w:tr w:rsidR="006F15DB" w14:paraId="4E747FE8" w14:textId="77777777" w:rsidTr="002813A5">
        <w:tc>
          <w:tcPr>
            <w:tcW w:w="5444" w:type="dxa"/>
            <w:tcBorders>
              <w:top w:val="single" w:sz="4" w:space="0" w:color="auto"/>
              <w:left w:val="single" w:sz="4" w:space="0" w:color="auto"/>
              <w:bottom w:val="single" w:sz="4" w:space="0" w:color="auto"/>
              <w:right w:val="single" w:sz="4" w:space="0" w:color="auto"/>
            </w:tcBorders>
          </w:tcPr>
          <w:p w14:paraId="4EC45683" w14:textId="11F86AD0" w:rsidR="00553083" w:rsidRPr="002813A5" w:rsidRDefault="00553083">
            <w:pPr>
              <w:tabs>
                <w:tab w:val="decimal" w:pos="6192"/>
                <w:tab w:val="decimal" w:pos="7020"/>
                <w:tab w:val="decimal" w:pos="8640"/>
              </w:tabs>
              <w:rPr>
                <w:b/>
                <w:u w:val="single"/>
              </w:rPr>
            </w:pPr>
            <w:r>
              <w:rPr>
                <w:b/>
                <w:u w:val="single"/>
              </w:rPr>
              <w:t>Disbursements</w:t>
            </w:r>
          </w:p>
          <w:p w14:paraId="5D37AF89" w14:textId="77777777" w:rsidR="00553083" w:rsidRDefault="00553083">
            <w:pPr>
              <w:tabs>
                <w:tab w:val="decimal" w:pos="6192"/>
                <w:tab w:val="decimal" w:pos="7020"/>
                <w:tab w:val="decimal" w:pos="8640"/>
              </w:tabs>
            </w:pPr>
            <w:r>
              <w:t>HM Land Registry Official Search</w:t>
            </w:r>
          </w:p>
          <w:p w14:paraId="3C5613B4" w14:textId="77777777" w:rsidR="00553083" w:rsidRDefault="00553083">
            <w:pPr>
              <w:tabs>
                <w:tab w:val="decimal" w:pos="6192"/>
                <w:tab w:val="decimal" w:pos="7020"/>
                <w:tab w:val="decimal" w:pos="8640"/>
              </w:tabs>
            </w:pPr>
            <w:r>
              <w:t>HM Land Registry Bankruptcy Search</w:t>
            </w:r>
          </w:p>
          <w:p w14:paraId="4D3EC0AC" w14:textId="77777777" w:rsidR="00553083" w:rsidRDefault="00553083">
            <w:pPr>
              <w:tabs>
                <w:tab w:val="decimal" w:pos="6192"/>
                <w:tab w:val="decimal" w:pos="7020"/>
                <w:tab w:val="decimal" w:pos="8640"/>
              </w:tabs>
            </w:pPr>
            <w:r>
              <w:t>HM Land Registration Fee</w:t>
            </w:r>
          </w:p>
          <w:p w14:paraId="703EE6CB" w14:textId="77777777" w:rsidR="006F15DB" w:rsidRDefault="006F15DB" w:rsidP="002813A5">
            <w:pPr>
              <w:tabs>
                <w:tab w:val="decimal" w:pos="6192"/>
                <w:tab w:val="decimal" w:pos="7020"/>
                <w:tab w:val="decimal" w:pos="8640"/>
              </w:tabs>
            </w:pPr>
          </w:p>
        </w:tc>
        <w:tc>
          <w:tcPr>
            <w:tcW w:w="1230" w:type="dxa"/>
            <w:tcBorders>
              <w:top w:val="single" w:sz="4" w:space="0" w:color="auto"/>
              <w:left w:val="single" w:sz="4" w:space="0" w:color="auto"/>
              <w:bottom w:val="single" w:sz="4" w:space="0" w:color="auto"/>
              <w:right w:val="single" w:sz="4" w:space="0" w:color="auto"/>
            </w:tcBorders>
          </w:tcPr>
          <w:p w14:paraId="3828E844" w14:textId="77777777" w:rsidR="006F15DB" w:rsidRDefault="006F15DB">
            <w:pPr>
              <w:tabs>
                <w:tab w:val="decimal" w:pos="651"/>
              </w:tabs>
            </w:pPr>
          </w:p>
        </w:tc>
        <w:tc>
          <w:tcPr>
            <w:tcW w:w="1420" w:type="dxa"/>
            <w:tcBorders>
              <w:top w:val="single" w:sz="4" w:space="0" w:color="auto"/>
              <w:left w:val="single" w:sz="4" w:space="0" w:color="auto"/>
              <w:bottom w:val="single" w:sz="4" w:space="0" w:color="auto"/>
              <w:right w:val="single" w:sz="4" w:space="0" w:color="auto"/>
            </w:tcBorders>
          </w:tcPr>
          <w:p w14:paraId="14634F8C" w14:textId="77777777" w:rsidR="006F15DB" w:rsidRDefault="006F15DB">
            <w:pPr>
              <w:tabs>
                <w:tab w:val="decimal" w:pos="682"/>
              </w:tabs>
            </w:pPr>
          </w:p>
          <w:p w14:paraId="3D756F62" w14:textId="77777777" w:rsidR="006F15DB" w:rsidRDefault="00553083">
            <w:pPr>
              <w:tabs>
                <w:tab w:val="decimal" w:pos="682"/>
              </w:tabs>
            </w:pPr>
            <w:r>
              <w:t>£3.00</w:t>
            </w:r>
          </w:p>
          <w:p w14:paraId="5D3EE834" w14:textId="77777777" w:rsidR="006F15DB" w:rsidRDefault="00553083">
            <w:pPr>
              <w:tabs>
                <w:tab w:val="decimal" w:pos="682"/>
              </w:tabs>
            </w:pPr>
            <w:r>
              <w:t>£2.00</w:t>
            </w:r>
          </w:p>
          <w:p w14:paraId="515EF86B" w14:textId="40E91F44" w:rsidR="00553083" w:rsidRDefault="00553083">
            <w:pPr>
              <w:tabs>
                <w:tab w:val="decimal" w:pos="682"/>
              </w:tabs>
            </w:pPr>
            <w:r>
              <w:t>£</w:t>
            </w:r>
            <w:r w:rsidR="002813A5">
              <w:t>2</w:t>
            </w:r>
            <w:r>
              <w:t>0.00</w:t>
            </w:r>
          </w:p>
          <w:p w14:paraId="436CFF6E" w14:textId="4A613A83" w:rsidR="00553083" w:rsidRDefault="00553083">
            <w:pPr>
              <w:tabs>
                <w:tab w:val="decimal" w:pos="682"/>
              </w:tabs>
            </w:pPr>
          </w:p>
        </w:tc>
        <w:tc>
          <w:tcPr>
            <w:tcW w:w="868" w:type="dxa"/>
            <w:tcBorders>
              <w:top w:val="single" w:sz="4" w:space="0" w:color="auto"/>
              <w:left w:val="single" w:sz="4" w:space="0" w:color="auto"/>
              <w:bottom w:val="single" w:sz="4" w:space="0" w:color="auto"/>
              <w:right w:val="single" w:sz="4" w:space="0" w:color="auto"/>
            </w:tcBorders>
          </w:tcPr>
          <w:p w14:paraId="7A9BD2E1" w14:textId="1409BDF5" w:rsidR="00553083" w:rsidRDefault="00553083" w:rsidP="002813A5"/>
          <w:p w14:paraId="46F60DEE" w14:textId="77777777" w:rsidR="00553083" w:rsidRDefault="00553083">
            <w:pPr>
              <w:jc w:val="center"/>
            </w:pPr>
          </w:p>
          <w:p w14:paraId="4E1B17A4" w14:textId="0F0E8005" w:rsidR="00553083" w:rsidRDefault="00553083">
            <w:pPr>
              <w:jc w:val="center"/>
            </w:pPr>
          </w:p>
        </w:tc>
        <w:tc>
          <w:tcPr>
            <w:tcW w:w="1103" w:type="dxa"/>
            <w:tcBorders>
              <w:top w:val="single" w:sz="4" w:space="0" w:color="auto"/>
              <w:left w:val="single" w:sz="4" w:space="0" w:color="auto"/>
              <w:bottom w:val="single" w:sz="4" w:space="0" w:color="auto"/>
              <w:right w:val="single" w:sz="4" w:space="0" w:color="auto"/>
            </w:tcBorders>
          </w:tcPr>
          <w:p w14:paraId="0066C6B3" w14:textId="77777777" w:rsidR="006F15DB" w:rsidRDefault="006F15DB">
            <w:pPr>
              <w:tabs>
                <w:tab w:val="decimal" w:pos="651"/>
              </w:tabs>
            </w:pPr>
          </w:p>
          <w:p w14:paraId="3DCF22BD" w14:textId="3A51FDC8" w:rsidR="00553083" w:rsidRDefault="00553083">
            <w:pPr>
              <w:tabs>
                <w:tab w:val="decimal" w:pos="651"/>
              </w:tabs>
            </w:pPr>
          </w:p>
        </w:tc>
      </w:tr>
      <w:tr w:rsidR="006F15DB" w14:paraId="13DA1D28" w14:textId="77777777" w:rsidTr="002813A5">
        <w:tc>
          <w:tcPr>
            <w:tcW w:w="5444" w:type="dxa"/>
            <w:tcBorders>
              <w:top w:val="single" w:sz="4" w:space="0" w:color="auto"/>
              <w:left w:val="nil"/>
              <w:bottom w:val="nil"/>
              <w:right w:val="single" w:sz="4" w:space="0" w:color="auto"/>
            </w:tcBorders>
          </w:tcPr>
          <w:p w14:paraId="665BB98D" w14:textId="77777777" w:rsidR="006F15DB" w:rsidRDefault="006F15DB">
            <w:pPr>
              <w:jc w:val="both"/>
            </w:pPr>
          </w:p>
        </w:tc>
        <w:tc>
          <w:tcPr>
            <w:tcW w:w="1230" w:type="dxa"/>
            <w:tcBorders>
              <w:top w:val="single" w:sz="4" w:space="0" w:color="auto"/>
              <w:left w:val="single" w:sz="4" w:space="0" w:color="auto"/>
              <w:bottom w:val="single" w:sz="4" w:space="0" w:color="auto"/>
              <w:right w:val="single" w:sz="4" w:space="0" w:color="auto"/>
            </w:tcBorders>
            <w:hideMark/>
          </w:tcPr>
          <w:p w14:paraId="67EA40FE" w14:textId="3E04E7CE" w:rsidR="006F15DB" w:rsidRDefault="006F15DB">
            <w:pPr>
              <w:tabs>
                <w:tab w:val="decimal" w:pos="651"/>
              </w:tabs>
            </w:pPr>
            <w:r>
              <w:t>£</w:t>
            </w:r>
            <w:r w:rsidR="002813A5">
              <w:t>535</w:t>
            </w:r>
            <w:r>
              <w:t>.00</w:t>
            </w:r>
          </w:p>
        </w:tc>
        <w:tc>
          <w:tcPr>
            <w:tcW w:w="1420" w:type="dxa"/>
            <w:tcBorders>
              <w:top w:val="single" w:sz="4" w:space="0" w:color="auto"/>
              <w:left w:val="single" w:sz="4" w:space="0" w:color="auto"/>
              <w:bottom w:val="single" w:sz="4" w:space="0" w:color="auto"/>
              <w:right w:val="single" w:sz="4" w:space="0" w:color="auto"/>
            </w:tcBorders>
            <w:hideMark/>
          </w:tcPr>
          <w:p w14:paraId="20CC4A42" w14:textId="58667087" w:rsidR="006F15DB" w:rsidRDefault="006F15DB">
            <w:pPr>
              <w:tabs>
                <w:tab w:val="decimal" w:pos="682"/>
              </w:tabs>
            </w:pPr>
            <w:r>
              <w:t>£</w:t>
            </w:r>
            <w:r w:rsidR="002813A5">
              <w:t>25</w:t>
            </w:r>
            <w:r>
              <w:t>.00</w:t>
            </w:r>
          </w:p>
        </w:tc>
        <w:tc>
          <w:tcPr>
            <w:tcW w:w="868" w:type="dxa"/>
            <w:tcBorders>
              <w:top w:val="single" w:sz="4" w:space="0" w:color="auto"/>
              <w:left w:val="single" w:sz="4" w:space="0" w:color="auto"/>
              <w:bottom w:val="single" w:sz="4" w:space="0" w:color="auto"/>
              <w:right w:val="single" w:sz="4" w:space="0" w:color="auto"/>
            </w:tcBorders>
            <w:hideMark/>
          </w:tcPr>
          <w:p w14:paraId="584994BA" w14:textId="77777777" w:rsidR="006F15DB" w:rsidRDefault="006F15DB">
            <w:pPr>
              <w:jc w:val="center"/>
            </w:pPr>
            <w:r>
              <w:t>20%</w:t>
            </w:r>
          </w:p>
        </w:tc>
        <w:tc>
          <w:tcPr>
            <w:tcW w:w="1103" w:type="dxa"/>
            <w:tcBorders>
              <w:top w:val="single" w:sz="4" w:space="0" w:color="auto"/>
              <w:left w:val="single" w:sz="4" w:space="0" w:color="auto"/>
              <w:bottom w:val="single" w:sz="4" w:space="0" w:color="auto"/>
              <w:right w:val="single" w:sz="4" w:space="0" w:color="auto"/>
            </w:tcBorders>
            <w:hideMark/>
          </w:tcPr>
          <w:p w14:paraId="19DB79BE" w14:textId="28859C1A" w:rsidR="006F15DB" w:rsidRDefault="006F15DB">
            <w:pPr>
              <w:tabs>
                <w:tab w:val="decimal" w:pos="651"/>
              </w:tabs>
            </w:pPr>
            <w:r>
              <w:t>£</w:t>
            </w:r>
            <w:r w:rsidR="002813A5">
              <w:t>107</w:t>
            </w:r>
            <w:r>
              <w:t>.00</w:t>
            </w:r>
          </w:p>
        </w:tc>
      </w:tr>
      <w:tr w:rsidR="006F15DB" w14:paraId="38B1A412" w14:textId="77777777" w:rsidTr="002813A5">
        <w:tc>
          <w:tcPr>
            <w:tcW w:w="5444" w:type="dxa"/>
            <w:tcBorders>
              <w:top w:val="nil"/>
              <w:left w:val="nil"/>
              <w:bottom w:val="nil"/>
              <w:right w:val="single" w:sz="4" w:space="0" w:color="auto"/>
            </w:tcBorders>
            <w:hideMark/>
          </w:tcPr>
          <w:p w14:paraId="319D44AD" w14:textId="77777777" w:rsidR="006F15DB" w:rsidRDefault="006F15DB">
            <w:pPr>
              <w:jc w:val="both"/>
              <w:rPr>
                <w:b/>
                <w:bCs/>
                <w:u w:val="double"/>
              </w:rPr>
            </w:pPr>
            <w:r>
              <w:rPr>
                <w:b/>
                <w:bCs/>
              </w:rPr>
              <w:t xml:space="preserve">                                              </w:t>
            </w:r>
            <w:r>
              <w:rPr>
                <w:b/>
                <w:bCs/>
                <w:u w:val="double"/>
              </w:rPr>
              <w:t>TOTAL</w:t>
            </w:r>
          </w:p>
        </w:tc>
        <w:tc>
          <w:tcPr>
            <w:tcW w:w="1230" w:type="dxa"/>
            <w:tcBorders>
              <w:top w:val="single" w:sz="4" w:space="0" w:color="auto"/>
              <w:left w:val="single" w:sz="4" w:space="0" w:color="auto"/>
              <w:bottom w:val="single" w:sz="4" w:space="0" w:color="auto"/>
              <w:right w:val="single" w:sz="4" w:space="0" w:color="auto"/>
            </w:tcBorders>
            <w:hideMark/>
          </w:tcPr>
          <w:p w14:paraId="79605CB6" w14:textId="2AD090B1" w:rsidR="006F15DB" w:rsidRDefault="006F15DB">
            <w:pPr>
              <w:tabs>
                <w:tab w:val="decimal" w:pos="651"/>
              </w:tabs>
            </w:pPr>
            <w:r>
              <w:t>£</w:t>
            </w:r>
            <w:r w:rsidR="002813A5">
              <w:t>667</w:t>
            </w:r>
            <w:r>
              <w:t>.00</w:t>
            </w:r>
          </w:p>
        </w:tc>
        <w:tc>
          <w:tcPr>
            <w:tcW w:w="1420" w:type="dxa"/>
            <w:tcBorders>
              <w:top w:val="single" w:sz="4" w:space="0" w:color="auto"/>
              <w:left w:val="single" w:sz="4" w:space="0" w:color="auto"/>
              <w:bottom w:val="nil"/>
              <w:right w:val="nil"/>
            </w:tcBorders>
          </w:tcPr>
          <w:p w14:paraId="00D1B758" w14:textId="77777777" w:rsidR="006F15DB" w:rsidRDefault="006F15DB">
            <w:pPr>
              <w:tabs>
                <w:tab w:val="decimal" w:pos="651"/>
              </w:tabs>
            </w:pPr>
          </w:p>
        </w:tc>
        <w:tc>
          <w:tcPr>
            <w:tcW w:w="868" w:type="dxa"/>
            <w:tcBorders>
              <w:top w:val="single" w:sz="4" w:space="0" w:color="auto"/>
              <w:left w:val="nil"/>
              <w:bottom w:val="nil"/>
              <w:right w:val="nil"/>
            </w:tcBorders>
          </w:tcPr>
          <w:p w14:paraId="08735CF3" w14:textId="77777777" w:rsidR="006F15DB" w:rsidRDefault="006F15DB">
            <w:pPr>
              <w:tabs>
                <w:tab w:val="decimal" w:pos="651"/>
              </w:tabs>
            </w:pPr>
          </w:p>
        </w:tc>
        <w:tc>
          <w:tcPr>
            <w:tcW w:w="1103" w:type="dxa"/>
            <w:tcBorders>
              <w:top w:val="single" w:sz="4" w:space="0" w:color="auto"/>
              <w:left w:val="nil"/>
              <w:bottom w:val="nil"/>
              <w:right w:val="nil"/>
            </w:tcBorders>
          </w:tcPr>
          <w:p w14:paraId="4CC18FAC" w14:textId="77777777" w:rsidR="006F15DB" w:rsidRDefault="006F15DB">
            <w:pPr>
              <w:tabs>
                <w:tab w:val="decimal" w:pos="651"/>
              </w:tabs>
            </w:pPr>
          </w:p>
        </w:tc>
      </w:tr>
    </w:tbl>
    <w:p w14:paraId="11F01BF6" w14:textId="77777777" w:rsidR="006F15DB" w:rsidRDefault="006F15DB" w:rsidP="006F15DB">
      <w:pPr>
        <w:ind w:left="-993" w:firstLine="284"/>
        <w:rPr>
          <w:szCs w:val="22"/>
          <w:lang w:eastAsia="en-US"/>
        </w:rPr>
      </w:pPr>
    </w:p>
    <w:p w14:paraId="436D628A" w14:textId="77777777" w:rsidR="00BE7ED4" w:rsidRPr="006F15DB" w:rsidRDefault="00BE7ED4" w:rsidP="006F15DB"/>
    <w:sectPr w:rsidR="00BE7ED4" w:rsidRPr="006F15DB" w:rsidSect="00985888">
      <w:headerReference w:type="even" r:id="rId8"/>
      <w:headerReference w:type="default" r:id="rId9"/>
      <w:footerReference w:type="even" r:id="rId10"/>
      <w:footerReference w:type="default" r:id="rId11"/>
      <w:headerReference w:type="first" r:id="rId12"/>
      <w:footerReference w:type="first" r:id="rId13"/>
      <w:pgSz w:w="11906" w:h="16838"/>
      <w:pgMar w:top="0" w:right="1701" w:bottom="1418" w:left="1440" w:header="720"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A3C30" w14:textId="77777777" w:rsidR="00C60890" w:rsidRDefault="00C60890" w:rsidP="00BE7ED4">
      <w:r>
        <w:separator/>
      </w:r>
    </w:p>
  </w:endnote>
  <w:endnote w:type="continuationSeparator" w:id="0">
    <w:p w14:paraId="1FA97CA4" w14:textId="77777777" w:rsidR="00C60890" w:rsidRDefault="00C60890" w:rsidP="00BE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DC65" w14:textId="77777777" w:rsidR="002D0186" w:rsidRDefault="002D0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02D4" w14:textId="77777777" w:rsidR="00553083" w:rsidRDefault="00553083" w:rsidP="00553083">
    <w:pPr>
      <w:pStyle w:val="Footer"/>
      <w:jc w:val="center"/>
      <w:rPr>
        <w:b/>
        <w:sz w:val="16"/>
      </w:rPr>
    </w:pPr>
    <w:r>
      <w:rPr>
        <w:b/>
        <w:sz w:val="16"/>
      </w:rPr>
      <w:t>Hammons Limited Registered in England and Wales.  Company Number: 7331600</w:t>
    </w:r>
  </w:p>
  <w:p w14:paraId="61956A63" w14:textId="77777777" w:rsidR="00553083" w:rsidRDefault="00553083" w:rsidP="00553083">
    <w:pPr>
      <w:pStyle w:val="Footer"/>
      <w:jc w:val="center"/>
      <w:rPr>
        <w:b/>
        <w:sz w:val="16"/>
      </w:rPr>
    </w:pPr>
    <w:r>
      <w:rPr>
        <w:b/>
        <w:sz w:val="16"/>
      </w:rPr>
      <w:t xml:space="preserve">Registered </w:t>
    </w:r>
    <w:proofErr w:type="gramStart"/>
    <w:r>
      <w:rPr>
        <w:b/>
        <w:sz w:val="16"/>
      </w:rPr>
      <w:t>Office :</w:t>
    </w:r>
    <w:proofErr w:type="gramEnd"/>
    <w:r>
      <w:rPr>
        <w:b/>
        <w:sz w:val="16"/>
      </w:rPr>
      <w:t xml:space="preserve"> The Old Bank, 353 Walsgrave Road, Coventry CV2 4BG</w:t>
    </w:r>
  </w:p>
  <w:p w14:paraId="3C1F3CF8" w14:textId="77777777" w:rsidR="00553083" w:rsidRDefault="00553083" w:rsidP="00553083">
    <w:pPr>
      <w:pStyle w:val="Footer"/>
      <w:jc w:val="center"/>
      <w:rPr>
        <w:b/>
        <w:sz w:val="16"/>
      </w:rPr>
    </w:pPr>
  </w:p>
  <w:p w14:paraId="1572CA3E" w14:textId="77777777" w:rsidR="00BE7ED4" w:rsidRPr="00553083" w:rsidRDefault="00553083" w:rsidP="00553083">
    <w:pPr>
      <w:pStyle w:val="BodyText2"/>
      <w:jc w:val="both"/>
      <w:rPr>
        <w:sz w:val="14"/>
      </w:rPr>
    </w:pPr>
    <w:r>
      <w:rPr>
        <w:sz w:val="14"/>
      </w:rPr>
      <w:t xml:space="preserve">Please note that Clients have certain rights under the Solicitors Act 1974 and the Solicitors Code of Conduct.  These give Clients the right to complain to the Legal Complaints Service if they consider that their Solicitors Charges are too high.  In contentious matter Clients can also apply to the Court for an Order under Sections 70,71 &amp; 72 of the Solicitors Act 1974 to have the bill assessed by the Court.  You are referred to the Act for full details.  Please note that subject to the provisions of the Act we are entitled to bring action to recover our costs when one month has expired from delivery of our bill.  We are also entitled to charge interest on the unpaid balance of our bill (including VAT and disbursements) one month after the date of delivery of our bill at the rate which was specified in our Client Care Letter.  </w:t>
    </w:r>
    <w:proofErr w:type="gramStart"/>
    <w:r>
      <w:rPr>
        <w:sz w:val="14"/>
      </w:rPr>
      <w:t>Accordingly</w:t>
    </w:r>
    <w:proofErr w:type="gramEnd"/>
    <w:r>
      <w:rPr>
        <w:sz w:val="14"/>
      </w:rPr>
      <w:t xml:space="preserve"> interest at that rate will be charged on the outstanding balance of the bill if not paid within one month of the date of delivery.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C56C2" w14:textId="77777777" w:rsidR="002D0186" w:rsidRDefault="002D0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342FA" w14:textId="77777777" w:rsidR="00C60890" w:rsidRDefault="00C60890" w:rsidP="00BE7ED4">
      <w:r>
        <w:separator/>
      </w:r>
    </w:p>
  </w:footnote>
  <w:footnote w:type="continuationSeparator" w:id="0">
    <w:p w14:paraId="711DD96E" w14:textId="77777777" w:rsidR="00C60890" w:rsidRDefault="00C60890" w:rsidP="00BE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2688B" w14:textId="77777777" w:rsidR="002D0186" w:rsidRDefault="002D0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A4FE" w14:textId="77777777" w:rsidR="006F15DB" w:rsidRDefault="006F15DB">
    <w:pPr>
      <w:pStyle w:val="Header"/>
    </w:pPr>
    <w:r>
      <w:rPr>
        <w:noProof/>
      </w:rPr>
      <w:drawing>
        <wp:anchor distT="0" distB="0" distL="114300" distR="114300" simplePos="0" relativeHeight="251658240" behindDoc="1" locked="0" layoutInCell="1" allowOverlap="1" wp14:anchorId="0F3333F0" wp14:editId="3A5C29A6">
          <wp:simplePos x="0" y="0"/>
          <wp:positionH relativeFrom="column">
            <wp:posOffset>-523875</wp:posOffset>
          </wp:positionH>
          <wp:positionV relativeFrom="paragraph">
            <wp:posOffset>-295275</wp:posOffset>
          </wp:positionV>
          <wp:extent cx="4638675" cy="810895"/>
          <wp:effectExtent l="0" t="0" r="9525" b="8255"/>
          <wp:wrapTight wrapText="bothSides">
            <wp:wrapPolygon edited="0">
              <wp:start x="0" y="0"/>
              <wp:lineTo x="0" y="21312"/>
              <wp:lineTo x="21556" y="21312"/>
              <wp:lineTo x="21556" y="0"/>
              <wp:lineTo x="0" y="0"/>
            </wp:wrapPolygon>
          </wp:wrapTight>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cstate="print">
                    <a:extLst>
                      <a:ext uri="{28A0092B-C50C-407E-A947-70E740481C1C}">
                        <a14:useLocalDpi xmlns:a14="http://schemas.microsoft.com/office/drawing/2010/main" val="0"/>
                      </a:ext>
                    </a:extLst>
                  </a:blip>
                  <a:srcRect l="3654" t="1932" r="33253" b="90186"/>
                  <a:stretch/>
                </pic:blipFill>
                <pic:spPr bwMode="auto">
                  <a:xfrm>
                    <a:off x="0" y="0"/>
                    <a:ext cx="4638675" cy="81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70936" w14:textId="77777777" w:rsidR="002D0186" w:rsidRDefault="002D0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F37"/>
    <w:multiLevelType w:val="hybridMultilevel"/>
    <w:tmpl w:val="1988B4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3810D6"/>
    <w:multiLevelType w:val="hybridMultilevel"/>
    <w:tmpl w:val="219A8D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959276B"/>
    <w:multiLevelType w:val="hybridMultilevel"/>
    <w:tmpl w:val="F7227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riginalDocumentPath" w:val="\\SVR2016\ALB\IrisLawBusinessDocuments\2023\September\Week 03\J005160015.5.55D20.docx"/>
  </w:docVars>
  <w:rsids>
    <w:rsidRoot w:val="00DF7664"/>
    <w:rsid w:val="0000072D"/>
    <w:rsid w:val="00000AA6"/>
    <w:rsid w:val="000B5614"/>
    <w:rsid w:val="000E06BC"/>
    <w:rsid w:val="002012A5"/>
    <w:rsid w:val="002813A5"/>
    <w:rsid w:val="002D0186"/>
    <w:rsid w:val="002F237C"/>
    <w:rsid w:val="0034189B"/>
    <w:rsid w:val="003A4531"/>
    <w:rsid w:val="00411062"/>
    <w:rsid w:val="00445FA4"/>
    <w:rsid w:val="004C0B88"/>
    <w:rsid w:val="004D02C6"/>
    <w:rsid w:val="0053200A"/>
    <w:rsid w:val="00553083"/>
    <w:rsid w:val="006077A9"/>
    <w:rsid w:val="006F15DB"/>
    <w:rsid w:val="006F2FF0"/>
    <w:rsid w:val="007246F1"/>
    <w:rsid w:val="007C17EF"/>
    <w:rsid w:val="007C7632"/>
    <w:rsid w:val="008907CE"/>
    <w:rsid w:val="008A26EC"/>
    <w:rsid w:val="00900FD6"/>
    <w:rsid w:val="00930759"/>
    <w:rsid w:val="00944E07"/>
    <w:rsid w:val="00947063"/>
    <w:rsid w:val="00985888"/>
    <w:rsid w:val="009B384F"/>
    <w:rsid w:val="009E38CC"/>
    <w:rsid w:val="00AB6805"/>
    <w:rsid w:val="00AB7B73"/>
    <w:rsid w:val="00BE7ED4"/>
    <w:rsid w:val="00BF6FB4"/>
    <w:rsid w:val="00C1461A"/>
    <w:rsid w:val="00C60890"/>
    <w:rsid w:val="00CF30D5"/>
    <w:rsid w:val="00D80E4D"/>
    <w:rsid w:val="00DD17C2"/>
    <w:rsid w:val="00DF7664"/>
    <w:rsid w:val="00E012AA"/>
    <w:rsid w:val="00E326B9"/>
    <w:rsid w:val="00E46CAA"/>
    <w:rsid w:val="00EC6B6F"/>
    <w:rsid w:val="00EE5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C435A"/>
  <w15:chartTrackingRefBased/>
  <w15:docId w15:val="{513B5DEC-2E30-4E30-9E00-13547872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ED4"/>
    <w:pPr>
      <w:spacing w:line="240" w:lineRule="auto"/>
      <w:jc w:val="left"/>
    </w:pPr>
    <w:rPr>
      <w:rFonts w:eastAsia="Times New Roman" w:cs="Times New Roman"/>
      <w:szCs w:val="24"/>
      <w:lang w:eastAsia="en-GB"/>
    </w:rPr>
  </w:style>
  <w:style w:type="paragraph" w:styleId="Heading1">
    <w:name w:val="heading 1"/>
    <w:basedOn w:val="Normal"/>
    <w:next w:val="Normal"/>
    <w:link w:val="Heading1Char"/>
    <w:qFormat/>
    <w:rsid w:val="009E38CC"/>
    <w:pPr>
      <w:keepNext/>
      <w:tabs>
        <w:tab w:val="decimal" w:pos="6192"/>
        <w:tab w:val="decimal" w:pos="6912"/>
        <w:tab w:val="decimal" w:pos="8640"/>
      </w:tabs>
      <w:outlineLvl w:val="0"/>
    </w:pPr>
    <w:rPr>
      <w:rFonts w:ascii="Footlight MT Light" w:hAnsi="Footlight MT Light"/>
      <w:b/>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ED4"/>
    <w:pPr>
      <w:tabs>
        <w:tab w:val="center" w:pos="4513"/>
        <w:tab w:val="right" w:pos="9026"/>
      </w:tabs>
    </w:pPr>
  </w:style>
  <w:style w:type="character" w:customStyle="1" w:styleId="HeaderChar">
    <w:name w:val="Header Char"/>
    <w:basedOn w:val="DefaultParagraphFont"/>
    <w:link w:val="Header"/>
    <w:uiPriority w:val="99"/>
    <w:rsid w:val="00BE7ED4"/>
    <w:rPr>
      <w:rFonts w:eastAsia="Times New Roman" w:cs="Times New Roman"/>
      <w:szCs w:val="24"/>
      <w:lang w:eastAsia="en-GB"/>
    </w:rPr>
  </w:style>
  <w:style w:type="paragraph" w:styleId="Footer">
    <w:name w:val="footer"/>
    <w:basedOn w:val="Normal"/>
    <w:link w:val="FooterChar"/>
    <w:unhideWhenUsed/>
    <w:rsid w:val="00BE7ED4"/>
    <w:pPr>
      <w:tabs>
        <w:tab w:val="center" w:pos="4513"/>
        <w:tab w:val="right" w:pos="9026"/>
      </w:tabs>
    </w:pPr>
  </w:style>
  <w:style w:type="character" w:customStyle="1" w:styleId="FooterChar">
    <w:name w:val="Footer Char"/>
    <w:basedOn w:val="DefaultParagraphFont"/>
    <w:link w:val="Footer"/>
    <w:rsid w:val="00BE7ED4"/>
    <w:rPr>
      <w:rFonts w:eastAsia="Times New Roman" w:cs="Times New Roman"/>
      <w:szCs w:val="24"/>
      <w:lang w:eastAsia="en-GB"/>
    </w:rPr>
  </w:style>
  <w:style w:type="paragraph" w:styleId="ListParagraph">
    <w:name w:val="List Paragraph"/>
    <w:basedOn w:val="Normal"/>
    <w:uiPriority w:val="34"/>
    <w:qFormat/>
    <w:rsid w:val="0034189B"/>
    <w:pPr>
      <w:ind w:left="720"/>
      <w:contextualSpacing/>
    </w:pPr>
    <w:rPr>
      <w:lang w:eastAsia="en-US"/>
    </w:rPr>
  </w:style>
  <w:style w:type="character" w:customStyle="1" w:styleId="Heading1Char">
    <w:name w:val="Heading 1 Char"/>
    <w:basedOn w:val="DefaultParagraphFont"/>
    <w:link w:val="Heading1"/>
    <w:rsid w:val="009E38CC"/>
    <w:rPr>
      <w:rFonts w:ascii="Footlight MT Light" w:eastAsia="Times New Roman" w:hAnsi="Footlight MT Light" w:cs="Times New Roman"/>
      <w:b/>
      <w:sz w:val="22"/>
      <w:szCs w:val="20"/>
      <w:u w:val="single"/>
    </w:rPr>
  </w:style>
  <w:style w:type="paragraph" w:styleId="BodyText2">
    <w:name w:val="Body Text 2"/>
    <w:basedOn w:val="Normal"/>
    <w:link w:val="BodyText2Char"/>
    <w:unhideWhenUsed/>
    <w:rsid w:val="009E38CC"/>
    <w:pPr>
      <w:jc w:val="center"/>
    </w:pPr>
    <w:rPr>
      <w:sz w:val="16"/>
      <w:lang w:eastAsia="en-US"/>
    </w:rPr>
  </w:style>
  <w:style w:type="character" w:customStyle="1" w:styleId="BodyText2Char">
    <w:name w:val="Body Text 2 Char"/>
    <w:basedOn w:val="DefaultParagraphFont"/>
    <w:link w:val="BodyText2"/>
    <w:rsid w:val="009E38CC"/>
    <w:rPr>
      <w:rFonts w:eastAsia="Times New Roman"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5816">
      <w:bodyDiv w:val="1"/>
      <w:marLeft w:val="0"/>
      <w:marRight w:val="0"/>
      <w:marTop w:val="0"/>
      <w:marBottom w:val="0"/>
      <w:divBdr>
        <w:top w:val="none" w:sz="0" w:space="0" w:color="auto"/>
        <w:left w:val="none" w:sz="0" w:space="0" w:color="auto"/>
        <w:bottom w:val="none" w:sz="0" w:space="0" w:color="auto"/>
        <w:right w:val="none" w:sz="0" w:space="0" w:color="auto"/>
      </w:divBdr>
    </w:div>
    <w:div w:id="876432562">
      <w:bodyDiv w:val="1"/>
      <w:marLeft w:val="0"/>
      <w:marRight w:val="0"/>
      <w:marTop w:val="0"/>
      <w:marBottom w:val="0"/>
      <w:divBdr>
        <w:top w:val="none" w:sz="0" w:space="0" w:color="auto"/>
        <w:left w:val="none" w:sz="0" w:space="0" w:color="auto"/>
        <w:bottom w:val="none" w:sz="0" w:space="0" w:color="auto"/>
        <w:right w:val="none" w:sz="0" w:space="0" w:color="auto"/>
      </w:divBdr>
    </w:div>
    <w:div w:id="1168670331">
      <w:bodyDiv w:val="1"/>
      <w:marLeft w:val="0"/>
      <w:marRight w:val="0"/>
      <w:marTop w:val="0"/>
      <w:marBottom w:val="0"/>
      <w:divBdr>
        <w:top w:val="none" w:sz="0" w:space="0" w:color="auto"/>
        <w:left w:val="none" w:sz="0" w:space="0" w:color="auto"/>
        <w:bottom w:val="none" w:sz="0" w:space="0" w:color="auto"/>
        <w:right w:val="none" w:sz="0" w:space="0" w:color="auto"/>
      </w:divBdr>
    </w:div>
    <w:div w:id="1298998666">
      <w:bodyDiv w:val="1"/>
      <w:marLeft w:val="0"/>
      <w:marRight w:val="0"/>
      <w:marTop w:val="0"/>
      <w:marBottom w:val="0"/>
      <w:divBdr>
        <w:top w:val="none" w:sz="0" w:space="0" w:color="auto"/>
        <w:left w:val="none" w:sz="0" w:space="0" w:color="auto"/>
        <w:bottom w:val="none" w:sz="0" w:space="0" w:color="auto"/>
        <w:right w:val="none" w:sz="0" w:space="0" w:color="auto"/>
      </w:divBdr>
    </w:div>
    <w:div w:id="1302467988">
      <w:bodyDiv w:val="1"/>
      <w:marLeft w:val="0"/>
      <w:marRight w:val="0"/>
      <w:marTop w:val="0"/>
      <w:marBottom w:val="0"/>
      <w:divBdr>
        <w:top w:val="none" w:sz="0" w:space="0" w:color="auto"/>
        <w:left w:val="none" w:sz="0" w:space="0" w:color="auto"/>
        <w:bottom w:val="none" w:sz="0" w:space="0" w:color="auto"/>
        <w:right w:val="none" w:sz="0" w:space="0" w:color="auto"/>
      </w:divBdr>
    </w:div>
    <w:div w:id="1458065665">
      <w:bodyDiv w:val="1"/>
      <w:marLeft w:val="0"/>
      <w:marRight w:val="0"/>
      <w:marTop w:val="0"/>
      <w:marBottom w:val="0"/>
      <w:divBdr>
        <w:top w:val="none" w:sz="0" w:space="0" w:color="auto"/>
        <w:left w:val="none" w:sz="0" w:space="0" w:color="auto"/>
        <w:bottom w:val="none" w:sz="0" w:space="0" w:color="auto"/>
        <w:right w:val="none" w:sz="0" w:space="0" w:color="auto"/>
      </w:divBdr>
    </w:div>
    <w:div w:id="1523006511">
      <w:bodyDiv w:val="1"/>
      <w:marLeft w:val="0"/>
      <w:marRight w:val="0"/>
      <w:marTop w:val="0"/>
      <w:marBottom w:val="0"/>
      <w:divBdr>
        <w:top w:val="none" w:sz="0" w:space="0" w:color="auto"/>
        <w:left w:val="none" w:sz="0" w:space="0" w:color="auto"/>
        <w:bottom w:val="none" w:sz="0" w:space="0" w:color="auto"/>
        <w:right w:val="none" w:sz="0" w:space="0" w:color="auto"/>
      </w:divBdr>
    </w:div>
    <w:div w:id="1624187045">
      <w:bodyDiv w:val="1"/>
      <w:marLeft w:val="0"/>
      <w:marRight w:val="0"/>
      <w:marTop w:val="0"/>
      <w:marBottom w:val="0"/>
      <w:divBdr>
        <w:top w:val="none" w:sz="0" w:space="0" w:color="auto"/>
        <w:left w:val="none" w:sz="0" w:space="0" w:color="auto"/>
        <w:bottom w:val="none" w:sz="0" w:space="0" w:color="auto"/>
        <w:right w:val="none" w:sz="0" w:space="0" w:color="auto"/>
      </w:divBdr>
    </w:div>
    <w:div w:id="189661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Downes</dc:creator>
  <cp:keywords/>
  <dc:description/>
  <cp:lastModifiedBy>Dilys Webb</cp:lastModifiedBy>
  <cp:revision>7</cp:revision>
  <cp:lastPrinted>2023-09-15T09:12:00Z</cp:lastPrinted>
  <dcterms:created xsi:type="dcterms:W3CDTF">2022-02-22T15:37:00Z</dcterms:created>
  <dcterms:modified xsi:type="dcterms:W3CDTF">2023-09-15T09:16:00Z</dcterms:modified>
</cp:coreProperties>
</file>