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C25BD" w14:textId="110165DD" w:rsidR="000F6C99" w:rsidRDefault="000F6C99" w:rsidP="00726CD4">
      <w:pPr>
        <w:jc w:val="center"/>
        <w:rPr>
          <w:noProof/>
        </w:rPr>
      </w:pPr>
    </w:p>
    <w:p w14:paraId="7DAD8F0C" w14:textId="605B4267" w:rsidR="00B33937" w:rsidRDefault="00B33937" w:rsidP="00726CD4">
      <w:pPr>
        <w:jc w:val="center"/>
        <w:rPr>
          <w:noProof/>
        </w:rPr>
      </w:pPr>
    </w:p>
    <w:p w14:paraId="280F5132" w14:textId="77777777" w:rsidR="00B33937" w:rsidRDefault="00B33937" w:rsidP="00726CD4">
      <w:pPr>
        <w:jc w:val="center"/>
      </w:pPr>
    </w:p>
    <w:p w14:paraId="26AEDCE1" w14:textId="77777777" w:rsidR="000F6C99" w:rsidRDefault="000F6C99"/>
    <w:p w14:paraId="7F4D73D1" w14:textId="77777777" w:rsidR="000F6C99" w:rsidRDefault="000F6C99"/>
    <w:p w14:paraId="79D7BDB8" w14:textId="77777777" w:rsidR="000F6C99" w:rsidRDefault="000F6C99"/>
    <w:p w14:paraId="71EC5124" w14:textId="4B3ADCE4" w:rsidR="000F6C99" w:rsidRPr="008C6E02" w:rsidRDefault="008C6E02" w:rsidP="008C6E02">
      <w:pPr>
        <w:jc w:val="center"/>
        <w:rPr>
          <w:sz w:val="44"/>
          <w:szCs w:val="44"/>
        </w:rPr>
      </w:pPr>
      <w:r w:rsidRPr="008C6E02">
        <w:rPr>
          <w:sz w:val="44"/>
          <w:szCs w:val="44"/>
        </w:rPr>
        <w:t>M</w:t>
      </w:r>
      <w:r w:rsidR="00C24563">
        <w:rPr>
          <w:sz w:val="44"/>
          <w:szCs w:val="44"/>
        </w:rPr>
        <w:t>S</w:t>
      </w:r>
      <w:r w:rsidRPr="008C6E02">
        <w:rPr>
          <w:sz w:val="44"/>
          <w:szCs w:val="44"/>
        </w:rPr>
        <w:t>S-DP-DOC-1</w:t>
      </w:r>
      <w:r w:rsidR="00C24563">
        <w:rPr>
          <w:sz w:val="44"/>
          <w:szCs w:val="44"/>
        </w:rPr>
        <w:t>1</w:t>
      </w:r>
      <w:r w:rsidRPr="008C6E02">
        <w:rPr>
          <w:sz w:val="44"/>
          <w:szCs w:val="44"/>
        </w:rPr>
        <w:t>.1</w:t>
      </w:r>
    </w:p>
    <w:p w14:paraId="411119A8" w14:textId="77777777" w:rsidR="001A7B45" w:rsidRDefault="001A7B45" w:rsidP="001A7B45">
      <w:pPr>
        <w:jc w:val="center"/>
        <w:rPr>
          <w:sz w:val="96"/>
          <w:szCs w:val="96"/>
        </w:rPr>
      </w:pPr>
      <w:r w:rsidRPr="001A7B45">
        <w:rPr>
          <w:sz w:val="96"/>
          <w:szCs w:val="96"/>
        </w:rPr>
        <w:t>DATA PROTECTION POLICY</w:t>
      </w:r>
    </w:p>
    <w:p w14:paraId="6BCC6FCE" w14:textId="716630EE" w:rsidR="001A7B45" w:rsidRDefault="00061F5F" w:rsidP="001A7B45">
      <w:pPr>
        <w:jc w:val="center"/>
        <w:rPr>
          <w:sz w:val="96"/>
          <w:szCs w:val="96"/>
        </w:rPr>
      </w:pPr>
      <w:r>
        <w:rPr>
          <w:sz w:val="36"/>
          <w:szCs w:val="96"/>
        </w:rPr>
        <w:t>Retirement Capital</w:t>
      </w:r>
    </w:p>
    <w:p w14:paraId="2F694F7F" w14:textId="409857D4" w:rsidR="001A7B45" w:rsidRDefault="001A7B45" w:rsidP="001A7B45">
      <w:pPr>
        <w:jc w:val="center"/>
        <w:rPr>
          <w:sz w:val="28"/>
          <w:szCs w:val="96"/>
        </w:rPr>
      </w:pPr>
      <w:r w:rsidRPr="001A7B45">
        <w:rPr>
          <w:sz w:val="28"/>
          <w:szCs w:val="96"/>
        </w:rPr>
        <w:t>Version 1</w:t>
      </w:r>
      <w:r w:rsidR="00726CD4">
        <w:rPr>
          <w:sz w:val="28"/>
          <w:szCs w:val="96"/>
        </w:rPr>
        <w:t>.0</w:t>
      </w:r>
      <w:r w:rsidR="008C6E02">
        <w:rPr>
          <w:sz w:val="28"/>
          <w:szCs w:val="96"/>
        </w:rPr>
        <w:t xml:space="preserve"> </w:t>
      </w:r>
      <w:r w:rsidR="00B33937">
        <w:rPr>
          <w:sz w:val="28"/>
          <w:szCs w:val="96"/>
        </w:rPr>
        <w:t>June 2020</w:t>
      </w:r>
    </w:p>
    <w:p w14:paraId="060A1F22" w14:textId="77777777" w:rsidR="001A7B45" w:rsidRPr="001A7B45" w:rsidRDefault="001A7B45" w:rsidP="001A7B45">
      <w:pPr>
        <w:rPr>
          <w:sz w:val="96"/>
          <w:szCs w:val="96"/>
        </w:rPr>
      </w:pPr>
      <w:r>
        <w:rPr>
          <w:sz w:val="28"/>
          <w:szCs w:val="96"/>
        </w:rPr>
        <w:br w:type="page"/>
      </w:r>
    </w:p>
    <w:tbl>
      <w:tblPr>
        <w:tblpPr w:leftFromText="180" w:rightFromText="180" w:horzAnchor="margin" w:tblpY="15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254"/>
        <w:gridCol w:w="2254"/>
        <w:gridCol w:w="2258"/>
        <w:gridCol w:w="2250"/>
      </w:tblGrid>
      <w:tr w:rsidR="001A7B45" w:rsidRPr="00F53A63" w14:paraId="0C9A62B1" w14:textId="77777777" w:rsidTr="001A7B45">
        <w:tc>
          <w:tcPr>
            <w:tcW w:w="1250" w:type="pct"/>
            <w:shd w:val="clear" w:color="auto" w:fill="D9D9D9" w:themeFill="background1" w:themeFillShade="D9"/>
          </w:tcPr>
          <w:p w14:paraId="4D5914BF" w14:textId="77777777" w:rsidR="001A7B45" w:rsidRPr="00F53A63" w:rsidRDefault="001A7B45" w:rsidP="001A7B45">
            <w:pPr>
              <w:pStyle w:val="TabellenInhalt"/>
              <w:rPr>
                <w:rFonts w:cs="Calibri"/>
                <w:b/>
                <w:bCs/>
                <w:sz w:val="16"/>
                <w:szCs w:val="16"/>
              </w:rPr>
            </w:pPr>
            <w:r w:rsidRPr="00F53A63">
              <w:rPr>
                <w:b/>
                <w:bCs/>
                <w:sz w:val="16"/>
                <w:szCs w:val="16"/>
                <w:lang w:val="en"/>
              </w:rPr>
              <w:lastRenderedPageBreak/>
              <w:t>Classification:</w:t>
            </w:r>
          </w:p>
        </w:tc>
        <w:tc>
          <w:tcPr>
            <w:tcW w:w="3750" w:type="pct"/>
            <w:gridSpan w:val="3"/>
            <w:shd w:val="clear" w:color="auto" w:fill="auto"/>
          </w:tcPr>
          <w:p w14:paraId="6D7DC278" w14:textId="4DBF8DA6" w:rsidR="001A7B45" w:rsidRPr="00F53A63" w:rsidRDefault="008C6E02" w:rsidP="001A7B45">
            <w:pPr>
              <w:pStyle w:val="TabellenInhalt"/>
              <w:rPr>
                <w:rFonts w:cs="Calibri"/>
                <w:sz w:val="16"/>
                <w:szCs w:val="16"/>
              </w:rPr>
            </w:pPr>
            <w:r>
              <w:rPr>
                <w:rFonts w:cs="Calibri"/>
                <w:sz w:val="16"/>
                <w:szCs w:val="16"/>
              </w:rPr>
              <w:t>Private</w:t>
            </w:r>
          </w:p>
        </w:tc>
      </w:tr>
      <w:tr w:rsidR="001A7B45" w:rsidRPr="00F53A63" w14:paraId="1F5904E2" w14:textId="77777777" w:rsidTr="001A7B45">
        <w:tc>
          <w:tcPr>
            <w:tcW w:w="1250" w:type="pct"/>
            <w:shd w:val="clear" w:color="auto" w:fill="D9D9D9" w:themeFill="background1" w:themeFillShade="D9"/>
          </w:tcPr>
          <w:p w14:paraId="19C8E5C3" w14:textId="77777777" w:rsidR="001A7B45" w:rsidRPr="00F53A63" w:rsidRDefault="001A7B45" w:rsidP="001A7B45">
            <w:pPr>
              <w:pStyle w:val="TabellenInhalt"/>
              <w:rPr>
                <w:rFonts w:cs="Calibri"/>
                <w:b/>
                <w:bCs/>
                <w:sz w:val="16"/>
                <w:szCs w:val="16"/>
              </w:rPr>
            </w:pPr>
            <w:r w:rsidRPr="00F53A63">
              <w:rPr>
                <w:b/>
                <w:bCs/>
                <w:sz w:val="16"/>
                <w:szCs w:val="16"/>
                <w:lang w:val="en"/>
              </w:rPr>
              <w:t>Version:</w:t>
            </w:r>
          </w:p>
        </w:tc>
        <w:tc>
          <w:tcPr>
            <w:tcW w:w="3750" w:type="pct"/>
            <w:gridSpan w:val="3"/>
            <w:shd w:val="clear" w:color="auto" w:fill="auto"/>
          </w:tcPr>
          <w:p w14:paraId="4B232BED" w14:textId="5D1084B5" w:rsidR="001A7B45" w:rsidRPr="00F53A63" w:rsidRDefault="001A7B45" w:rsidP="001A7B45">
            <w:pPr>
              <w:pStyle w:val="TabellenInhalt"/>
              <w:rPr>
                <w:rFonts w:cs="Calibri"/>
                <w:sz w:val="16"/>
                <w:szCs w:val="16"/>
              </w:rPr>
            </w:pPr>
            <w:r>
              <w:rPr>
                <w:sz w:val="16"/>
                <w:szCs w:val="16"/>
                <w:lang w:val="en"/>
              </w:rPr>
              <w:t>1</w:t>
            </w:r>
          </w:p>
        </w:tc>
      </w:tr>
      <w:tr w:rsidR="001A7B45" w:rsidRPr="00F53A63" w14:paraId="0FEEE1C9" w14:textId="77777777" w:rsidTr="001A7B45">
        <w:tc>
          <w:tcPr>
            <w:tcW w:w="1250" w:type="pct"/>
            <w:shd w:val="clear" w:color="auto" w:fill="D9D9D9" w:themeFill="background1" w:themeFillShade="D9"/>
          </w:tcPr>
          <w:p w14:paraId="351D0727" w14:textId="4895FE76" w:rsidR="001A7B45" w:rsidRPr="00F53A63" w:rsidRDefault="001A7B45" w:rsidP="001A7B45">
            <w:pPr>
              <w:pStyle w:val="TabellenInhalt"/>
              <w:rPr>
                <w:rFonts w:cs="Calibri"/>
                <w:b/>
                <w:bCs/>
                <w:sz w:val="16"/>
                <w:szCs w:val="16"/>
              </w:rPr>
            </w:pPr>
            <w:r w:rsidRPr="00F53A63">
              <w:rPr>
                <w:b/>
                <w:bCs/>
                <w:sz w:val="16"/>
                <w:szCs w:val="16"/>
                <w:lang w:val="en"/>
              </w:rPr>
              <w:t>Document title:</w:t>
            </w:r>
          </w:p>
        </w:tc>
        <w:tc>
          <w:tcPr>
            <w:tcW w:w="3750" w:type="pct"/>
            <w:gridSpan w:val="3"/>
            <w:shd w:val="clear" w:color="auto" w:fill="auto"/>
          </w:tcPr>
          <w:p w14:paraId="35A82DB9" w14:textId="440B5E97" w:rsidR="001A7B45" w:rsidRPr="004B3D5A" w:rsidRDefault="008C6E02" w:rsidP="001A7B45">
            <w:pPr>
              <w:pStyle w:val="TabellenInhalt"/>
              <w:rPr>
                <w:rFonts w:cs="Calibri"/>
                <w:bCs/>
                <w:sz w:val="16"/>
                <w:szCs w:val="16"/>
              </w:rPr>
            </w:pPr>
            <w:r>
              <w:rPr>
                <w:bCs/>
                <w:sz w:val="16"/>
                <w:szCs w:val="16"/>
                <w:lang w:val="en"/>
              </w:rPr>
              <w:t>M</w:t>
            </w:r>
            <w:r w:rsidR="00435862">
              <w:rPr>
                <w:bCs/>
                <w:sz w:val="16"/>
                <w:szCs w:val="16"/>
                <w:lang w:val="en"/>
              </w:rPr>
              <w:t>S</w:t>
            </w:r>
            <w:r>
              <w:rPr>
                <w:bCs/>
                <w:sz w:val="16"/>
                <w:szCs w:val="16"/>
                <w:lang w:val="en"/>
              </w:rPr>
              <w:t>S-DP-DOC-</w:t>
            </w:r>
            <w:r w:rsidR="00435862">
              <w:rPr>
                <w:bCs/>
                <w:sz w:val="16"/>
                <w:szCs w:val="16"/>
                <w:lang w:val="en"/>
              </w:rPr>
              <w:t>11</w:t>
            </w:r>
            <w:r>
              <w:rPr>
                <w:bCs/>
                <w:sz w:val="16"/>
                <w:szCs w:val="16"/>
                <w:lang w:val="en"/>
              </w:rPr>
              <w:t xml:space="preserve">.1 </w:t>
            </w:r>
            <w:r w:rsidR="001A7B45">
              <w:rPr>
                <w:bCs/>
                <w:sz w:val="16"/>
                <w:szCs w:val="16"/>
                <w:lang w:val="en"/>
              </w:rPr>
              <w:t>Data Protection Policy</w:t>
            </w:r>
          </w:p>
        </w:tc>
      </w:tr>
      <w:tr w:rsidR="001A7B45" w:rsidRPr="00F53A63" w14:paraId="7056DDEA" w14:textId="77777777" w:rsidTr="001A7B45">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30042" w14:textId="29189AB5" w:rsidR="001A7B45" w:rsidRPr="00FE5601" w:rsidRDefault="001A7B45" w:rsidP="001A7B45">
            <w:pPr>
              <w:pStyle w:val="TabellenInhalt"/>
              <w:rPr>
                <w:rFonts w:cs="Calibri"/>
                <w:b/>
                <w:bCs/>
                <w:sz w:val="16"/>
                <w:szCs w:val="16"/>
                <w:lang w:val="de-AT"/>
              </w:rPr>
            </w:pPr>
            <w:r w:rsidRPr="00FE5601">
              <w:rPr>
                <w:b/>
                <w:bCs/>
                <w:sz w:val="16"/>
                <w:szCs w:val="16"/>
                <w:lang w:val="en"/>
              </w:rPr>
              <w:t>Document manage</w:t>
            </w:r>
            <w:r>
              <w:rPr>
                <w:b/>
                <w:bCs/>
                <w:sz w:val="16"/>
                <w:szCs w:val="16"/>
                <w:lang w:val="en"/>
              </w:rPr>
              <w:t>ment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9FDB3ED" w14:textId="43B891B9" w:rsidR="001A7B45" w:rsidRPr="00FE5601" w:rsidRDefault="00061F5F" w:rsidP="001A7B45">
            <w:pPr>
              <w:pStyle w:val="TabellenInhalt"/>
              <w:rPr>
                <w:rFonts w:cs="Calibri"/>
                <w:sz w:val="16"/>
                <w:szCs w:val="16"/>
                <w:lang w:val="de-AT"/>
              </w:rPr>
            </w:pPr>
            <w:r>
              <w:rPr>
                <w:sz w:val="16"/>
                <w:szCs w:val="16"/>
                <w:lang w:val="en"/>
              </w:rPr>
              <w:t>Gavin McCloskey</w:t>
            </w:r>
          </w:p>
        </w:tc>
        <w:tc>
          <w:tcPr>
            <w:tcW w:w="1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EC5DAC" w14:textId="77777777" w:rsidR="001A7B45" w:rsidRPr="00FE5601" w:rsidRDefault="001A7B45" w:rsidP="001A7B45">
            <w:pPr>
              <w:pStyle w:val="TabellenInhalt"/>
              <w:rPr>
                <w:rFonts w:cs="Calibri"/>
                <w:b/>
                <w:bCs/>
                <w:sz w:val="16"/>
                <w:szCs w:val="16"/>
                <w:lang w:val="de-AT"/>
              </w:rPr>
            </w:pPr>
            <w:r>
              <w:rPr>
                <w:b/>
                <w:bCs/>
                <w:sz w:val="16"/>
                <w:szCs w:val="16"/>
                <w:lang w:val="en"/>
              </w:rPr>
              <w:t>Authorised by</w:t>
            </w:r>
            <w:r w:rsidRPr="00FE5601">
              <w:rPr>
                <w:b/>
                <w:bCs/>
                <w:sz w:val="16"/>
                <w:szCs w:val="16"/>
                <w:lang w:val="en"/>
              </w:rPr>
              <w:t>:</w:t>
            </w:r>
          </w:p>
        </w:tc>
        <w:tc>
          <w:tcPr>
            <w:tcW w:w="1248" w:type="pct"/>
            <w:tcBorders>
              <w:top w:val="single" w:sz="4" w:space="0" w:color="auto"/>
              <w:left w:val="single" w:sz="4" w:space="0" w:color="auto"/>
              <w:bottom w:val="single" w:sz="4" w:space="0" w:color="auto"/>
              <w:right w:val="single" w:sz="4" w:space="0" w:color="auto"/>
            </w:tcBorders>
            <w:shd w:val="clear" w:color="auto" w:fill="auto"/>
          </w:tcPr>
          <w:p w14:paraId="7AD24967" w14:textId="1A13DAE0" w:rsidR="001A7B45" w:rsidRPr="00FE5601" w:rsidRDefault="00061F5F" w:rsidP="001A7B45">
            <w:pPr>
              <w:pStyle w:val="TabellenInhalt"/>
              <w:rPr>
                <w:rFonts w:cs="Calibri"/>
                <w:sz w:val="16"/>
                <w:szCs w:val="16"/>
                <w:lang w:val="de-AT"/>
              </w:rPr>
            </w:pPr>
            <w:r>
              <w:rPr>
                <w:sz w:val="16"/>
                <w:szCs w:val="16"/>
                <w:lang w:val="en"/>
              </w:rPr>
              <w:t>Gavin McCloskey</w:t>
            </w:r>
          </w:p>
        </w:tc>
      </w:tr>
      <w:tr w:rsidR="001A7B45" w:rsidRPr="00F53A63" w14:paraId="2ED64FC2" w14:textId="77777777" w:rsidTr="001A7B45">
        <w:tc>
          <w:tcPr>
            <w:tcW w:w="1250" w:type="pct"/>
            <w:tcBorders>
              <w:right w:val="single" w:sz="4" w:space="0" w:color="auto"/>
            </w:tcBorders>
            <w:shd w:val="clear" w:color="auto" w:fill="D9D9D9" w:themeFill="background1" w:themeFillShade="D9"/>
          </w:tcPr>
          <w:p w14:paraId="4F8C509E" w14:textId="77777777" w:rsidR="001A7B45" w:rsidRPr="00F53A63" w:rsidRDefault="001A7B45" w:rsidP="001A7B45">
            <w:pPr>
              <w:pStyle w:val="TabellenInhalt"/>
              <w:rPr>
                <w:rFonts w:cs="Calibri"/>
                <w:b/>
                <w:bCs/>
                <w:sz w:val="16"/>
                <w:szCs w:val="16"/>
              </w:rPr>
            </w:pPr>
            <w:r>
              <w:rPr>
                <w:b/>
                <w:bCs/>
                <w:sz w:val="16"/>
                <w:szCs w:val="16"/>
                <w:lang w:val="en"/>
              </w:rPr>
              <w:t>Revision interval:</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4FDABEB" w14:textId="77777777" w:rsidR="001A7B45" w:rsidRPr="00F53A63" w:rsidRDefault="001A7B45" w:rsidP="001A7B45">
            <w:pPr>
              <w:pStyle w:val="TabellenInhalt"/>
              <w:rPr>
                <w:rFonts w:cs="Calibri"/>
                <w:sz w:val="16"/>
                <w:szCs w:val="16"/>
              </w:rPr>
            </w:pPr>
            <w:r>
              <w:rPr>
                <w:sz w:val="16"/>
                <w:szCs w:val="16"/>
                <w:lang w:val="en"/>
              </w:rPr>
              <w:t>Annually</w:t>
            </w:r>
          </w:p>
        </w:tc>
        <w:tc>
          <w:tcPr>
            <w:tcW w:w="1252" w:type="pct"/>
            <w:tcBorders>
              <w:left w:val="single" w:sz="4" w:space="0" w:color="auto"/>
            </w:tcBorders>
            <w:shd w:val="clear" w:color="auto" w:fill="D9D9D9" w:themeFill="background1" w:themeFillShade="D9"/>
          </w:tcPr>
          <w:p w14:paraId="22B92D24" w14:textId="77777777" w:rsidR="001A7B45" w:rsidRPr="00F53A63" w:rsidRDefault="001A7B45" w:rsidP="001A7B45">
            <w:pPr>
              <w:pStyle w:val="TabellenInhalt"/>
              <w:rPr>
                <w:rFonts w:cs="Calibri"/>
                <w:b/>
                <w:bCs/>
                <w:sz w:val="16"/>
                <w:szCs w:val="16"/>
              </w:rPr>
            </w:pPr>
            <w:r>
              <w:rPr>
                <w:b/>
                <w:bCs/>
                <w:sz w:val="16"/>
                <w:szCs w:val="16"/>
                <w:lang w:val="en"/>
              </w:rPr>
              <w:t>Last revision:</w:t>
            </w:r>
          </w:p>
        </w:tc>
        <w:tc>
          <w:tcPr>
            <w:tcW w:w="1248" w:type="pct"/>
            <w:shd w:val="clear" w:color="auto" w:fill="auto"/>
          </w:tcPr>
          <w:p w14:paraId="35057E98" w14:textId="2048FE9F" w:rsidR="001A7B45" w:rsidRPr="00F53A63" w:rsidRDefault="00061F5F" w:rsidP="001A7B45">
            <w:pPr>
              <w:pStyle w:val="TabellenInhalt"/>
              <w:rPr>
                <w:rFonts w:cs="Calibri"/>
                <w:sz w:val="16"/>
                <w:szCs w:val="16"/>
              </w:rPr>
            </w:pPr>
            <w:r>
              <w:rPr>
                <w:sz w:val="16"/>
                <w:lang w:val="en"/>
              </w:rPr>
              <w:t>14/11/2020</w:t>
            </w:r>
          </w:p>
        </w:tc>
      </w:tr>
    </w:tbl>
    <w:p w14:paraId="0D431C93" w14:textId="77777777" w:rsidR="001A7B45" w:rsidRDefault="001A7B45" w:rsidP="001A7B45">
      <w:pPr>
        <w:pStyle w:val="Heading1"/>
      </w:pPr>
      <w:bookmarkStart w:id="0" w:name="_Toc7544845"/>
    </w:p>
    <w:p w14:paraId="5AC2EACA" w14:textId="16EC95FF" w:rsidR="000F6C99" w:rsidRPr="001A7B45" w:rsidRDefault="001A7B45" w:rsidP="001A7B45">
      <w:pPr>
        <w:pStyle w:val="Heading1"/>
        <w:rPr>
          <w:sz w:val="28"/>
        </w:rPr>
      </w:pPr>
      <w:r>
        <w:t>Revision History</w:t>
      </w:r>
      <w:bookmarkEnd w:id="0"/>
      <w:r w:rsidR="000F6C99" w:rsidRPr="001A7B45">
        <w:br w:type="page"/>
      </w:r>
    </w:p>
    <w:sdt>
      <w:sdtPr>
        <w:rPr>
          <w:rFonts w:asciiTheme="minorHAnsi" w:eastAsiaTheme="minorHAnsi" w:hAnsiTheme="minorHAnsi" w:cstheme="minorBidi"/>
          <w:color w:val="auto"/>
          <w:sz w:val="22"/>
          <w:szCs w:val="22"/>
          <w:lang w:val="en-GB"/>
        </w:rPr>
        <w:id w:val="-351347301"/>
        <w:docPartObj>
          <w:docPartGallery w:val="Table of Contents"/>
          <w:docPartUnique/>
        </w:docPartObj>
      </w:sdtPr>
      <w:sdtEndPr>
        <w:rPr>
          <w:b/>
          <w:bCs/>
          <w:noProof/>
        </w:rPr>
      </w:sdtEndPr>
      <w:sdtContent>
        <w:p w14:paraId="1C835900" w14:textId="6E2DFE74" w:rsidR="000F6C99" w:rsidRDefault="000F6C99">
          <w:pPr>
            <w:pStyle w:val="TOCHeading"/>
          </w:pPr>
          <w:r>
            <w:t>Contents</w:t>
          </w:r>
        </w:p>
        <w:p w14:paraId="208E0601" w14:textId="6A4CF0AB" w:rsidR="001A7B45" w:rsidRDefault="000F6C99">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7544845" w:history="1">
            <w:r w:rsidR="001A7B45" w:rsidRPr="0048512A">
              <w:rPr>
                <w:rStyle w:val="Hyperlink"/>
                <w:noProof/>
              </w:rPr>
              <w:t>Revision History</w:t>
            </w:r>
            <w:r w:rsidR="001A7B45">
              <w:rPr>
                <w:noProof/>
                <w:webHidden/>
              </w:rPr>
              <w:tab/>
            </w:r>
            <w:r w:rsidR="001A7B45">
              <w:rPr>
                <w:noProof/>
                <w:webHidden/>
              </w:rPr>
              <w:fldChar w:fldCharType="begin"/>
            </w:r>
            <w:r w:rsidR="001A7B45">
              <w:rPr>
                <w:noProof/>
                <w:webHidden/>
              </w:rPr>
              <w:instrText xml:space="preserve"> PAGEREF _Toc7544845 \h </w:instrText>
            </w:r>
            <w:r w:rsidR="001A7B45">
              <w:rPr>
                <w:noProof/>
                <w:webHidden/>
              </w:rPr>
            </w:r>
            <w:r w:rsidR="001A7B45">
              <w:rPr>
                <w:noProof/>
                <w:webHidden/>
              </w:rPr>
              <w:fldChar w:fldCharType="separate"/>
            </w:r>
            <w:r w:rsidR="00355AE5">
              <w:rPr>
                <w:noProof/>
                <w:webHidden/>
              </w:rPr>
              <w:t>2</w:t>
            </w:r>
            <w:r w:rsidR="001A7B45">
              <w:rPr>
                <w:noProof/>
                <w:webHidden/>
              </w:rPr>
              <w:fldChar w:fldCharType="end"/>
            </w:r>
          </w:hyperlink>
        </w:p>
        <w:p w14:paraId="03891D59" w14:textId="14F97A2A" w:rsidR="001A7B45" w:rsidRDefault="00061F5F">
          <w:pPr>
            <w:pStyle w:val="TOC1"/>
            <w:tabs>
              <w:tab w:val="left" w:pos="440"/>
              <w:tab w:val="right" w:leader="dot" w:pos="9016"/>
            </w:tabs>
            <w:rPr>
              <w:rFonts w:eastAsiaTheme="minorEastAsia"/>
              <w:noProof/>
              <w:lang w:eastAsia="en-GB"/>
            </w:rPr>
          </w:pPr>
          <w:hyperlink w:anchor="_Toc7544846" w:history="1">
            <w:r w:rsidR="001A7B45" w:rsidRPr="0048512A">
              <w:rPr>
                <w:rStyle w:val="Hyperlink"/>
                <w:noProof/>
              </w:rPr>
              <w:t>1.</w:t>
            </w:r>
            <w:r w:rsidR="001A7B45">
              <w:rPr>
                <w:rFonts w:eastAsiaTheme="minorEastAsia"/>
                <w:noProof/>
                <w:lang w:eastAsia="en-GB"/>
              </w:rPr>
              <w:tab/>
            </w:r>
            <w:r w:rsidR="001A7B45" w:rsidRPr="0048512A">
              <w:rPr>
                <w:rStyle w:val="Hyperlink"/>
                <w:noProof/>
              </w:rPr>
              <w:t>Management Summary</w:t>
            </w:r>
            <w:r w:rsidR="001A7B45">
              <w:rPr>
                <w:noProof/>
                <w:webHidden/>
              </w:rPr>
              <w:tab/>
            </w:r>
            <w:r w:rsidR="001A7B45">
              <w:rPr>
                <w:noProof/>
                <w:webHidden/>
              </w:rPr>
              <w:fldChar w:fldCharType="begin"/>
            </w:r>
            <w:r w:rsidR="001A7B45">
              <w:rPr>
                <w:noProof/>
                <w:webHidden/>
              </w:rPr>
              <w:instrText xml:space="preserve"> PAGEREF _Toc7544846 \h </w:instrText>
            </w:r>
            <w:r w:rsidR="001A7B45">
              <w:rPr>
                <w:noProof/>
                <w:webHidden/>
              </w:rPr>
            </w:r>
            <w:r w:rsidR="001A7B45">
              <w:rPr>
                <w:noProof/>
                <w:webHidden/>
              </w:rPr>
              <w:fldChar w:fldCharType="separate"/>
            </w:r>
            <w:r w:rsidR="00355AE5">
              <w:rPr>
                <w:noProof/>
                <w:webHidden/>
              </w:rPr>
              <w:t>4</w:t>
            </w:r>
            <w:r w:rsidR="001A7B45">
              <w:rPr>
                <w:noProof/>
                <w:webHidden/>
              </w:rPr>
              <w:fldChar w:fldCharType="end"/>
            </w:r>
          </w:hyperlink>
        </w:p>
        <w:p w14:paraId="3E378FA9" w14:textId="701209D4" w:rsidR="001A7B45" w:rsidRDefault="00061F5F">
          <w:pPr>
            <w:pStyle w:val="TOC1"/>
            <w:tabs>
              <w:tab w:val="left" w:pos="440"/>
              <w:tab w:val="right" w:leader="dot" w:pos="9016"/>
            </w:tabs>
            <w:rPr>
              <w:rFonts w:eastAsiaTheme="minorEastAsia"/>
              <w:noProof/>
              <w:lang w:eastAsia="en-GB"/>
            </w:rPr>
          </w:pPr>
          <w:hyperlink w:anchor="_Toc7544847" w:history="1">
            <w:r w:rsidR="001A7B45" w:rsidRPr="0048512A">
              <w:rPr>
                <w:rStyle w:val="Hyperlink"/>
                <w:noProof/>
              </w:rPr>
              <w:t xml:space="preserve">2. </w:t>
            </w:r>
            <w:r w:rsidR="001A7B45">
              <w:rPr>
                <w:rFonts w:eastAsiaTheme="minorEastAsia"/>
                <w:noProof/>
                <w:lang w:eastAsia="en-GB"/>
              </w:rPr>
              <w:tab/>
            </w:r>
            <w:r w:rsidR="001A7B45" w:rsidRPr="0048512A">
              <w:rPr>
                <w:rStyle w:val="Hyperlink"/>
                <w:noProof/>
              </w:rPr>
              <w:t>Principles</w:t>
            </w:r>
            <w:r w:rsidR="001A7B45">
              <w:rPr>
                <w:noProof/>
                <w:webHidden/>
              </w:rPr>
              <w:tab/>
            </w:r>
            <w:r w:rsidR="001A7B45">
              <w:rPr>
                <w:noProof/>
                <w:webHidden/>
              </w:rPr>
              <w:fldChar w:fldCharType="begin"/>
            </w:r>
            <w:r w:rsidR="001A7B45">
              <w:rPr>
                <w:noProof/>
                <w:webHidden/>
              </w:rPr>
              <w:instrText xml:space="preserve"> PAGEREF _Toc7544847 \h </w:instrText>
            </w:r>
            <w:r w:rsidR="001A7B45">
              <w:rPr>
                <w:noProof/>
                <w:webHidden/>
              </w:rPr>
            </w:r>
            <w:r w:rsidR="001A7B45">
              <w:rPr>
                <w:noProof/>
                <w:webHidden/>
              </w:rPr>
              <w:fldChar w:fldCharType="separate"/>
            </w:r>
            <w:r w:rsidR="00355AE5">
              <w:rPr>
                <w:noProof/>
                <w:webHidden/>
              </w:rPr>
              <w:t>4</w:t>
            </w:r>
            <w:r w:rsidR="001A7B45">
              <w:rPr>
                <w:noProof/>
                <w:webHidden/>
              </w:rPr>
              <w:fldChar w:fldCharType="end"/>
            </w:r>
          </w:hyperlink>
        </w:p>
        <w:p w14:paraId="748F264D" w14:textId="22CFB5D6" w:rsidR="001A7B45" w:rsidRDefault="00061F5F">
          <w:pPr>
            <w:pStyle w:val="TOC2"/>
            <w:tabs>
              <w:tab w:val="left" w:pos="880"/>
              <w:tab w:val="right" w:leader="dot" w:pos="9016"/>
            </w:tabs>
            <w:rPr>
              <w:rFonts w:eastAsiaTheme="minorEastAsia"/>
              <w:noProof/>
              <w:lang w:eastAsia="en-GB"/>
            </w:rPr>
          </w:pPr>
          <w:hyperlink w:anchor="_Toc7544848" w:history="1">
            <w:r w:rsidR="001A7B45" w:rsidRPr="0048512A">
              <w:rPr>
                <w:rStyle w:val="Hyperlink"/>
                <w:noProof/>
              </w:rPr>
              <w:t xml:space="preserve">2.1 </w:t>
            </w:r>
            <w:r w:rsidR="001A7B45">
              <w:rPr>
                <w:rFonts w:eastAsiaTheme="minorEastAsia"/>
                <w:noProof/>
                <w:lang w:eastAsia="en-GB"/>
              </w:rPr>
              <w:tab/>
            </w:r>
            <w:r w:rsidR="001A7B45" w:rsidRPr="0048512A">
              <w:rPr>
                <w:rStyle w:val="Hyperlink"/>
                <w:noProof/>
              </w:rPr>
              <w:t>Policy Statement</w:t>
            </w:r>
            <w:r w:rsidR="001A7B45">
              <w:rPr>
                <w:noProof/>
                <w:webHidden/>
              </w:rPr>
              <w:tab/>
            </w:r>
            <w:r w:rsidR="001A7B45">
              <w:rPr>
                <w:noProof/>
                <w:webHidden/>
              </w:rPr>
              <w:fldChar w:fldCharType="begin"/>
            </w:r>
            <w:r w:rsidR="001A7B45">
              <w:rPr>
                <w:noProof/>
                <w:webHidden/>
              </w:rPr>
              <w:instrText xml:space="preserve"> PAGEREF _Toc7544848 \h </w:instrText>
            </w:r>
            <w:r w:rsidR="001A7B45">
              <w:rPr>
                <w:noProof/>
                <w:webHidden/>
              </w:rPr>
            </w:r>
            <w:r w:rsidR="001A7B45">
              <w:rPr>
                <w:noProof/>
                <w:webHidden/>
              </w:rPr>
              <w:fldChar w:fldCharType="separate"/>
            </w:r>
            <w:r w:rsidR="00355AE5">
              <w:rPr>
                <w:noProof/>
                <w:webHidden/>
              </w:rPr>
              <w:t>4</w:t>
            </w:r>
            <w:r w:rsidR="001A7B45">
              <w:rPr>
                <w:noProof/>
                <w:webHidden/>
              </w:rPr>
              <w:fldChar w:fldCharType="end"/>
            </w:r>
          </w:hyperlink>
        </w:p>
        <w:p w14:paraId="32BD44FF" w14:textId="5D5A69D1" w:rsidR="001A7B45" w:rsidRDefault="00061F5F">
          <w:pPr>
            <w:pStyle w:val="TOC2"/>
            <w:tabs>
              <w:tab w:val="left" w:pos="880"/>
              <w:tab w:val="right" w:leader="dot" w:pos="9016"/>
            </w:tabs>
            <w:rPr>
              <w:rFonts w:eastAsiaTheme="minorEastAsia"/>
              <w:noProof/>
              <w:lang w:eastAsia="en-GB"/>
            </w:rPr>
          </w:pPr>
          <w:hyperlink w:anchor="_Toc7544849" w:history="1">
            <w:r w:rsidR="001A7B45" w:rsidRPr="0048512A">
              <w:rPr>
                <w:rStyle w:val="Hyperlink"/>
                <w:noProof/>
              </w:rPr>
              <w:t>2.2</w:t>
            </w:r>
            <w:r w:rsidR="001A7B45">
              <w:rPr>
                <w:rFonts w:eastAsiaTheme="minorEastAsia"/>
                <w:noProof/>
                <w:lang w:eastAsia="en-GB"/>
              </w:rPr>
              <w:tab/>
            </w:r>
            <w:r w:rsidR="001A7B45" w:rsidRPr="0048512A">
              <w:rPr>
                <w:rStyle w:val="Hyperlink"/>
                <w:noProof/>
              </w:rPr>
              <w:t>Management Commitment</w:t>
            </w:r>
            <w:r w:rsidR="001A7B45">
              <w:rPr>
                <w:noProof/>
                <w:webHidden/>
              </w:rPr>
              <w:tab/>
            </w:r>
            <w:r w:rsidR="001A7B45">
              <w:rPr>
                <w:noProof/>
                <w:webHidden/>
              </w:rPr>
              <w:fldChar w:fldCharType="begin"/>
            </w:r>
            <w:r w:rsidR="001A7B45">
              <w:rPr>
                <w:noProof/>
                <w:webHidden/>
              </w:rPr>
              <w:instrText xml:space="preserve"> PAGEREF _Toc7544849 \h </w:instrText>
            </w:r>
            <w:r w:rsidR="001A7B45">
              <w:rPr>
                <w:noProof/>
                <w:webHidden/>
              </w:rPr>
            </w:r>
            <w:r w:rsidR="001A7B45">
              <w:rPr>
                <w:noProof/>
                <w:webHidden/>
              </w:rPr>
              <w:fldChar w:fldCharType="separate"/>
            </w:r>
            <w:r w:rsidR="00355AE5">
              <w:rPr>
                <w:noProof/>
                <w:webHidden/>
              </w:rPr>
              <w:t>5</w:t>
            </w:r>
            <w:r w:rsidR="001A7B45">
              <w:rPr>
                <w:noProof/>
                <w:webHidden/>
              </w:rPr>
              <w:fldChar w:fldCharType="end"/>
            </w:r>
          </w:hyperlink>
        </w:p>
        <w:p w14:paraId="220CA934" w14:textId="6ED395F0" w:rsidR="001A7B45" w:rsidRDefault="00061F5F">
          <w:pPr>
            <w:pStyle w:val="TOC2"/>
            <w:tabs>
              <w:tab w:val="left" w:pos="880"/>
              <w:tab w:val="right" w:leader="dot" w:pos="9016"/>
            </w:tabs>
            <w:rPr>
              <w:rFonts w:eastAsiaTheme="minorEastAsia"/>
              <w:noProof/>
              <w:lang w:eastAsia="en-GB"/>
            </w:rPr>
          </w:pPr>
          <w:hyperlink w:anchor="_Toc7544850" w:history="1">
            <w:r w:rsidR="001A7B45" w:rsidRPr="0048512A">
              <w:rPr>
                <w:rStyle w:val="Hyperlink"/>
                <w:noProof/>
              </w:rPr>
              <w:t xml:space="preserve">2.2 </w:t>
            </w:r>
            <w:r w:rsidR="001A7B45">
              <w:rPr>
                <w:rFonts w:eastAsiaTheme="minorEastAsia"/>
                <w:noProof/>
                <w:lang w:eastAsia="en-GB"/>
              </w:rPr>
              <w:tab/>
            </w:r>
            <w:r w:rsidR="001A7B45" w:rsidRPr="0048512A">
              <w:rPr>
                <w:rStyle w:val="Hyperlink"/>
                <w:noProof/>
              </w:rPr>
              <w:t>Policy</w:t>
            </w:r>
            <w:r w:rsidR="001A7B45">
              <w:rPr>
                <w:noProof/>
                <w:webHidden/>
              </w:rPr>
              <w:tab/>
            </w:r>
            <w:r w:rsidR="001A7B45">
              <w:rPr>
                <w:noProof/>
                <w:webHidden/>
              </w:rPr>
              <w:fldChar w:fldCharType="begin"/>
            </w:r>
            <w:r w:rsidR="001A7B45">
              <w:rPr>
                <w:noProof/>
                <w:webHidden/>
              </w:rPr>
              <w:instrText xml:space="preserve"> PAGEREF _Toc7544850 \h </w:instrText>
            </w:r>
            <w:r w:rsidR="001A7B45">
              <w:rPr>
                <w:noProof/>
                <w:webHidden/>
              </w:rPr>
            </w:r>
            <w:r w:rsidR="001A7B45">
              <w:rPr>
                <w:noProof/>
                <w:webHidden/>
              </w:rPr>
              <w:fldChar w:fldCharType="separate"/>
            </w:r>
            <w:r w:rsidR="00355AE5">
              <w:rPr>
                <w:noProof/>
                <w:webHidden/>
              </w:rPr>
              <w:t>5</w:t>
            </w:r>
            <w:r w:rsidR="001A7B45">
              <w:rPr>
                <w:noProof/>
                <w:webHidden/>
              </w:rPr>
              <w:fldChar w:fldCharType="end"/>
            </w:r>
          </w:hyperlink>
        </w:p>
        <w:p w14:paraId="5AC3FD11" w14:textId="20D3B291" w:rsidR="001A7B45" w:rsidRDefault="00061F5F">
          <w:pPr>
            <w:pStyle w:val="TOC2"/>
            <w:tabs>
              <w:tab w:val="left" w:pos="880"/>
              <w:tab w:val="right" w:leader="dot" w:pos="9016"/>
            </w:tabs>
            <w:rPr>
              <w:rFonts w:eastAsiaTheme="minorEastAsia"/>
              <w:noProof/>
              <w:lang w:eastAsia="en-GB"/>
            </w:rPr>
          </w:pPr>
          <w:hyperlink w:anchor="_Toc7544851" w:history="1">
            <w:r w:rsidR="001A7B45" w:rsidRPr="0048512A">
              <w:rPr>
                <w:rStyle w:val="Hyperlink"/>
                <w:noProof/>
              </w:rPr>
              <w:t>2.3</w:t>
            </w:r>
            <w:r w:rsidR="001A7B45">
              <w:rPr>
                <w:rFonts w:eastAsiaTheme="minorEastAsia"/>
                <w:noProof/>
                <w:lang w:eastAsia="en-GB"/>
              </w:rPr>
              <w:tab/>
            </w:r>
            <w:r w:rsidR="001A7B45" w:rsidRPr="0048512A">
              <w:rPr>
                <w:rStyle w:val="Hyperlink"/>
                <w:noProof/>
              </w:rPr>
              <w:t>Scope</w:t>
            </w:r>
            <w:r w:rsidR="001A7B45">
              <w:rPr>
                <w:noProof/>
                <w:webHidden/>
              </w:rPr>
              <w:tab/>
            </w:r>
            <w:r w:rsidR="001A7B45">
              <w:rPr>
                <w:noProof/>
                <w:webHidden/>
              </w:rPr>
              <w:fldChar w:fldCharType="begin"/>
            </w:r>
            <w:r w:rsidR="001A7B45">
              <w:rPr>
                <w:noProof/>
                <w:webHidden/>
              </w:rPr>
              <w:instrText xml:space="preserve"> PAGEREF _Toc7544851 \h </w:instrText>
            </w:r>
            <w:r w:rsidR="001A7B45">
              <w:rPr>
                <w:noProof/>
                <w:webHidden/>
              </w:rPr>
            </w:r>
            <w:r w:rsidR="001A7B45">
              <w:rPr>
                <w:noProof/>
                <w:webHidden/>
              </w:rPr>
              <w:fldChar w:fldCharType="separate"/>
            </w:r>
            <w:r w:rsidR="00355AE5">
              <w:rPr>
                <w:noProof/>
                <w:webHidden/>
              </w:rPr>
              <w:t>5</w:t>
            </w:r>
            <w:r w:rsidR="001A7B45">
              <w:rPr>
                <w:noProof/>
                <w:webHidden/>
              </w:rPr>
              <w:fldChar w:fldCharType="end"/>
            </w:r>
          </w:hyperlink>
        </w:p>
        <w:p w14:paraId="2BD05277" w14:textId="723E79B1" w:rsidR="001A7B45" w:rsidRDefault="00061F5F">
          <w:pPr>
            <w:pStyle w:val="TOC2"/>
            <w:tabs>
              <w:tab w:val="left" w:pos="880"/>
              <w:tab w:val="right" w:leader="dot" w:pos="9016"/>
            </w:tabs>
            <w:rPr>
              <w:rFonts w:eastAsiaTheme="minorEastAsia"/>
              <w:noProof/>
              <w:lang w:eastAsia="en-GB"/>
            </w:rPr>
          </w:pPr>
          <w:hyperlink w:anchor="_Toc7544852" w:history="1">
            <w:r w:rsidR="001A7B45" w:rsidRPr="0048512A">
              <w:rPr>
                <w:rStyle w:val="Hyperlink"/>
                <w:noProof/>
              </w:rPr>
              <w:t>2.4</w:t>
            </w:r>
            <w:r w:rsidR="001A7B45">
              <w:rPr>
                <w:rFonts w:eastAsiaTheme="minorEastAsia"/>
                <w:noProof/>
                <w:lang w:eastAsia="en-GB"/>
              </w:rPr>
              <w:tab/>
            </w:r>
            <w:r w:rsidR="001A7B45" w:rsidRPr="0048512A">
              <w:rPr>
                <w:rStyle w:val="Hyperlink"/>
                <w:noProof/>
              </w:rPr>
              <w:t>Data Protection Officer</w:t>
            </w:r>
            <w:r w:rsidR="001A7B45">
              <w:rPr>
                <w:noProof/>
                <w:webHidden/>
              </w:rPr>
              <w:tab/>
            </w:r>
            <w:r w:rsidR="001A7B45">
              <w:rPr>
                <w:noProof/>
                <w:webHidden/>
              </w:rPr>
              <w:fldChar w:fldCharType="begin"/>
            </w:r>
            <w:r w:rsidR="001A7B45">
              <w:rPr>
                <w:noProof/>
                <w:webHidden/>
              </w:rPr>
              <w:instrText xml:space="preserve"> PAGEREF _Toc7544852 \h </w:instrText>
            </w:r>
            <w:r w:rsidR="001A7B45">
              <w:rPr>
                <w:noProof/>
                <w:webHidden/>
              </w:rPr>
            </w:r>
            <w:r w:rsidR="001A7B45">
              <w:rPr>
                <w:noProof/>
                <w:webHidden/>
              </w:rPr>
              <w:fldChar w:fldCharType="separate"/>
            </w:r>
            <w:r w:rsidR="00355AE5">
              <w:rPr>
                <w:noProof/>
                <w:webHidden/>
              </w:rPr>
              <w:t>5</w:t>
            </w:r>
            <w:r w:rsidR="001A7B45">
              <w:rPr>
                <w:noProof/>
                <w:webHidden/>
              </w:rPr>
              <w:fldChar w:fldCharType="end"/>
            </w:r>
          </w:hyperlink>
        </w:p>
        <w:p w14:paraId="71F8582C" w14:textId="6B49C914" w:rsidR="001A7B45" w:rsidRDefault="00061F5F">
          <w:pPr>
            <w:pStyle w:val="TOC2"/>
            <w:tabs>
              <w:tab w:val="left" w:pos="880"/>
              <w:tab w:val="right" w:leader="dot" w:pos="9016"/>
            </w:tabs>
            <w:rPr>
              <w:rFonts w:eastAsiaTheme="minorEastAsia"/>
              <w:noProof/>
              <w:lang w:eastAsia="en-GB"/>
            </w:rPr>
          </w:pPr>
          <w:hyperlink w:anchor="_Toc7544853" w:history="1">
            <w:r w:rsidR="001A7B45" w:rsidRPr="0048512A">
              <w:rPr>
                <w:rStyle w:val="Hyperlink"/>
                <w:noProof/>
              </w:rPr>
              <w:t>2.5</w:t>
            </w:r>
            <w:r w:rsidR="001A7B45">
              <w:rPr>
                <w:rFonts w:eastAsiaTheme="minorEastAsia"/>
                <w:noProof/>
                <w:lang w:eastAsia="en-GB"/>
              </w:rPr>
              <w:tab/>
            </w:r>
            <w:r w:rsidR="001A7B45" w:rsidRPr="0048512A">
              <w:rPr>
                <w:rStyle w:val="Hyperlink"/>
                <w:noProof/>
              </w:rPr>
              <w:t>Users</w:t>
            </w:r>
            <w:r w:rsidR="001A7B45">
              <w:rPr>
                <w:noProof/>
                <w:webHidden/>
              </w:rPr>
              <w:tab/>
            </w:r>
            <w:r w:rsidR="001A7B45">
              <w:rPr>
                <w:noProof/>
                <w:webHidden/>
              </w:rPr>
              <w:fldChar w:fldCharType="begin"/>
            </w:r>
            <w:r w:rsidR="001A7B45">
              <w:rPr>
                <w:noProof/>
                <w:webHidden/>
              </w:rPr>
              <w:instrText xml:space="preserve"> PAGEREF _Toc7544853 \h </w:instrText>
            </w:r>
            <w:r w:rsidR="001A7B45">
              <w:rPr>
                <w:noProof/>
                <w:webHidden/>
              </w:rPr>
            </w:r>
            <w:r w:rsidR="001A7B45">
              <w:rPr>
                <w:noProof/>
                <w:webHidden/>
              </w:rPr>
              <w:fldChar w:fldCharType="separate"/>
            </w:r>
            <w:r w:rsidR="00355AE5">
              <w:rPr>
                <w:noProof/>
                <w:webHidden/>
              </w:rPr>
              <w:t>6</w:t>
            </w:r>
            <w:r w:rsidR="001A7B45">
              <w:rPr>
                <w:noProof/>
                <w:webHidden/>
              </w:rPr>
              <w:fldChar w:fldCharType="end"/>
            </w:r>
          </w:hyperlink>
        </w:p>
        <w:p w14:paraId="5F5B91FC" w14:textId="7CAC264E" w:rsidR="001A7B45" w:rsidRDefault="00061F5F">
          <w:pPr>
            <w:pStyle w:val="TOC2"/>
            <w:tabs>
              <w:tab w:val="left" w:pos="880"/>
              <w:tab w:val="right" w:leader="dot" w:pos="9016"/>
            </w:tabs>
            <w:rPr>
              <w:rFonts w:eastAsiaTheme="minorEastAsia"/>
              <w:noProof/>
              <w:lang w:eastAsia="en-GB"/>
            </w:rPr>
          </w:pPr>
          <w:hyperlink w:anchor="_Toc7544854" w:history="1">
            <w:r w:rsidR="001A7B45" w:rsidRPr="0048512A">
              <w:rPr>
                <w:rStyle w:val="Hyperlink"/>
                <w:noProof/>
              </w:rPr>
              <w:t>2.6</w:t>
            </w:r>
            <w:r w:rsidR="001A7B45">
              <w:rPr>
                <w:rFonts w:eastAsiaTheme="minorEastAsia"/>
                <w:noProof/>
                <w:lang w:eastAsia="en-GB"/>
              </w:rPr>
              <w:tab/>
            </w:r>
            <w:r w:rsidR="001A7B45" w:rsidRPr="0048512A">
              <w:rPr>
                <w:rStyle w:val="Hyperlink"/>
                <w:noProof/>
              </w:rPr>
              <w:t>Summary</w:t>
            </w:r>
            <w:r w:rsidR="001A7B45">
              <w:rPr>
                <w:noProof/>
                <w:webHidden/>
              </w:rPr>
              <w:tab/>
            </w:r>
            <w:r w:rsidR="001A7B45">
              <w:rPr>
                <w:noProof/>
                <w:webHidden/>
              </w:rPr>
              <w:fldChar w:fldCharType="begin"/>
            </w:r>
            <w:r w:rsidR="001A7B45">
              <w:rPr>
                <w:noProof/>
                <w:webHidden/>
              </w:rPr>
              <w:instrText xml:space="preserve"> PAGEREF _Toc7544854 \h </w:instrText>
            </w:r>
            <w:r w:rsidR="001A7B45">
              <w:rPr>
                <w:noProof/>
                <w:webHidden/>
              </w:rPr>
            </w:r>
            <w:r w:rsidR="001A7B45">
              <w:rPr>
                <w:noProof/>
                <w:webHidden/>
              </w:rPr>
              <w:fldChar w:fldCharType="separate"/>
            </w:r>
            <w:r w:rsidR="00355AE5">
              <w:rPr>
                <w:noProof/>
                <w:webHidden/>
              </w:rPr>
              <w:t>6</w:t>
            </w:r>
            <w:r w:rsidR="001A7B45">
              <w:rPr>
                <w:noProof/>
                <w:webHidden/>
              </w:rPr>
              <w:fldChar w:fldCharType="end"/>
            </w:r>
          </w:hyperlink>
        </w:p>
        <w:p w14:paraId="56FC5014" w14:textId="7376DA2F" w:rsidR="001A7B45" w:rsidRDefault="00061F5F">
          <w:pPr>
            <w:pStyle w:val="TOC1"/>
            <w:tabs>
              <w:tab w:val="left" w:pos="440"/>
              <w:tab w:val="right" w:leader="dot" w:pos="9016"/>
            </w:tabs>
            <w:rPr>
              <w:rFonts w:eastAsiaTheme="minorEastAsia"/>
              <w:noProof/>
              <w:lang w:eastAsia="en-GB"/>
            </w:rPr>
          </w:pPr>
          <w:hyperlink w:anchor="_Toc7544855" w:history="1">
            <w:r w:rsidR="001A7B45" w:rsidRPr="0048512A">
              <w:rPr>
                <w:rStyle w:val="Hyperlink"/>
                <w:noProof/>
              </w:rPr>
              <w:t>4.</w:t>
            </w:r>
            <w:r w:rsidR="001A7B45">
              <w:rPr>
                <w:rFonts w:eastAsiaTheme="minorEastAsia"/>
                <w:noProof/>
                <w:lang w:eastAsia="en-GB"/>
              </w:rPr>
              <w:tab/>
            </w:r>
            <w:r w:rsidR="001A7B45" w:rsidRPr="0048512A">
              <w:rPr>
                <w:rStyle w:val="Hyperlink"/>
                <w:noProof/>
              </w:rPr>
              <w:t>Processing of data</w:t>
            </w:r>
            <w:r w:rsidR="001A7B45">
              <w:rPr>
                <w:noProof/>
                <w:webHidden/>
              </w:rPr>
              <w:tab/>
            </w:r>
            <w:r w:rsidR="001A7B45">
              <w:rPr>
                <w:noProof/>
                <w:webHidden/>
              </w:rPr>
              <w:fldChar w:fldCharType="begin"/>
            </w:r>
            <w:r w:rsidR="001A7B45">
              <w:rPr>
                <w:noProof/>
                <w:webHidden/>
              </w:rPr>
              <w:instrText xml:space="preserve"> PAGEREF _Toc7544855 \h </w:instrText>
            </w:r>
            <w:r w:rsidR="001A7B45">
              <w:rPr>
                <w:noProof/>
                <w:webHidden/>
              </w:rPr>
            </w:r>
            <w:r w:rsidR="001A7B45">
              <w:rPr>
                <w:noProof/>
                <w:webHidden/>
              </w:rPr>
              <w:fldChar w:fldCharType="separate"/>
            </w:r>
            <w:r w:rsidR="00355AE5">
              <w:rPr>
                <w:noProof/>
                <w:webHidden/>
              </w:rPr>
              <w:t>7</w:t>
            </w:r>
            <w:r w:rsidR="001A7B45">
              <w:rPr>
                <w:noProof/>
                <w:webHidden/>
              </w:rPr>
              <w:fldChar w:fldCharType="end"/>
            </w:r>
          </w:hyperlink>
        </w:p>
        <w:p w14:paraId="2898FFCF" w14:textId="75D7BA79" w:rsidR="001A7B45" w:rsidRDefault="00061F5F">
          <w:pPr>
            <w:pStyle w:val="TOC1"/>
            <w:tabs>
              <w:tab w:val="left" w:pos="440"/>
              <w:tab w:val="right" w:leader="dot" w:pos="9016"/>
            </w:tabs>
            <w:rPr>
              <w:rFonts w:eastAsiaTheme="minorEastAsia"/>
              <w:noProof/>
              <w:lang w:eastAsia="en-GB"/>
            </w:rPr>
          </w:pPr>
          <w:hyperlink w:anchor="_Toc7544856" w:history="1">
            <w:r w:rsidR="001A7B45" w:rsidRPr="0048512A">
              <w:rPr>
                <w:rStyle w:val="Hyperlink"/>
                <w:noProof/>
              </w:rPr>
              <w:t>5.</w:t>
            </w:r>
            <w:r w:rsidR="001A7B45">
              <w:rPr>
                <w:rFonts w:eastAsiaTheme="minorEastAsia"/>
                <w:noProof/>
                <w:lang w:eastAsia="en-GB"/>
              </w:rPr>
              <w:tab/>
            </w:r>
            <w:r w:rsidR="001A7B45" w:rsidRPr="0048512A">
              <w:rPr>
                <w:rStyle w:val="Hyperlink"/>
                <w:noProof/>
              </w:rPr>
              <w:t>Exercising Data Protection</w:t>
            </w:r>
            <w:r w:rsidR="001A7B45">
              <w:rPr>
                <w:noProof/>
                <w:webHidden/>
              </w:rPr>
              <w:tab/>
            </w:r>
            <w:r w:rsidR="001A7B45">
              <w:rPr>
                <w:noProof/>
                <w:webHidden/>
              </w:rPr>
              <w:fldChar w:fldCharType="begin"/>
            </w:r>
            <w:r w:rsidR="001A7B45">
              <w:rPr>
                <w:noProof/>
                <w:webHidden/>
              </w:rPr>
              <w:instrText xml:space="preserve"> PAGEREF _Toc7544856 \h </w:instrText>
            </w:r>
            <w:r w:rsidR="001A7B45">
              <w:rPr>
                <w:noProof/>
                <w:webHidden/>
              </w:rPr>
            </w:r>
            <w:r w:rsidR="001A7B45">
              <w:rPr>
                <w:noProof/>
                <w:webHidden/>
              </w:rPr>
              <w:fldChar w:fldCharType="separate"/>
            </w:r>
            <w:r w:rsidR="00355AE5">
              <w:rPr>
                <w:noProof/>
                <w:webHidden/>
              </w:rPr>
              <w:t>8</w:t>
            </w:r>
            <w:r w:rsidR="001A7B45">
              <w:rPr>
                <w:noProof/>
                <w:webHidden/>
              </w:rPr>
              <w:fldChar w:fldCharType="end"/>
            </w:r>
          </w:hyperlink>
        </w:p>
        <w:p w14:paraId="109A7B4C" w14:textId="2186A43B" w:rsidR="001A7B45" w:rsidRDefault="00061F5F">
          <w:pPr>
            <w:pStyle w:val="TOC1"/>
            <w:tabs>
              <w:tab w:val="left" w:pos="440"/>
              <w:tab w:val="right" w:leader="dot" w:pos="9016"/>
            </w:tabs>
            <w:rPr>
              <w:rFonts w:eastAsiaTheme="minorEastAsia"/>
              <w:noProof/>
              <w:lang w:eastAsia="en-GB"/>
            </w:rPr>
          </w:pPr>
          <w:hyperlink w:anchor="_Toc7544857" w:history="1">
            <w:r w:rsidR="001A7B45" w:rsidRPr="0048512A">
              <w:rPr>
                <w:rStyle w:val="Hyperlink"/>
                <w:noProof/>
              </w:rPr>
              <w:t>6.</w:t>
            </w:r>
            <w:r w:rsidR="001A7B45">
              <w:rPr>
                <w:rFonts w:eastAsiaTheme="minorEastAsia"/>
                <w:noProof/>
                <w:lang w:eastAsia="en-GB"/>
              </w:rPr>
              <w:tab/>
            </w:r>
            <w:r w:rsidR="001A7B45" w:rsidRPr="0048512A">
              <w:rPr>
                <w:rStyle w:val="Hyperlink"/>
                <w:noProof/>
              </w:rPr>
              <w:t>Data confidentiality</w:t>
            </w:r>
            <w:r w:rsidR="001A7B45">
              <w:rPr>
                <w:noProof/>
                <w:webHidden/>
              </w:rPr>
              <w:tab/>
            </w:r>
            <w:r w:rsidR="001A7B45">
              <w:rPr>
                <w:noProof/>
                <w:webHidden/>
              </w:rPr>
              <w:fldChar w:fldCharType="begin"/>
            </w:r>
            <w:r w:rsidR="001A7B45">
              <w:rPr>
                <w:noProof/>
                <w:webHidden/>
              </w:rPr>
              <w:instrText xml:space="preserve"> PAGEREF _Toc7544857 \h </w:instrText>
            </w:r>
            <w:r w:rsidR="001A7B45">
              <w:rPr>
                <w:noProof/>
                <w:webHidden/>
              </w:rPr>
            </w:r>
            <w:r w:rsidR="001A7B45">
              <w:rPr>
                <w:noProof/>
                <w:webHidden/>
              </w:rPr>
              <w:fldChar w:fldCharType="separate"/>
            </w:r>
            <w:r w:rsidR="00355AE5">
              <w:rPr>
                <w:noProof/>
                <w:webHidden/>
              </w:rPr>
              <w:t>8</w:t>
            </w:r>
            <w:r w:rsidR="001A7B45">
              <w:rPr>
                <w:noProof/>
                <w:webHidden/>
              </w:rPr>
              <w:fldChar w:fldCharType="end"/>
            </w:r>
          </w:hyperlink>
        </w:p>
        <w:p w14:paraId="1178D6F2" w14:textId="3F17EAF7" w:rsidR="001A7B45" w:rsidRDefault="00061F5F">
          <w:pPr>
            <w:pStyle w:val="TOC1"/>
            <w:tabs>
              <w:tab w:val="left" w:pos="440"/>
              <w:tab w:val="right" w:leader="dot" w:pos="9016"/>
            </w:tabs>
            <w:rPr>
              <w:rFonts w:eastAsiaTheme="minorEastAsia"/>
              <w:noProof/>
              <w:lang w:eastAsia="en-GB"/>
            </w:rPr>
          </w:pPr>
          <w:hyperlink w:anchor="_Toc7544858" w:history="1">
            <w:r w:rsidR="001A7B45" w:rsidRPr="0048512A">
              <w:rPr>
                <w:rStyle w:val="Hyperlink"/>
                <w:noProof/>
              </w:rPr>
              <w:t>6.</w:t>
            </w:r>
            <w:r w:rsidR="001A7B45">
              <w:rPr>
                <w:rFonts w:eastAsiaTheme="minorEastAsia"/>
                <w:noProof/>
                <w:lang w:eastAsia="en-GB"/>
              </w:rPr>
              <w:tab/>
            </w:r>
            <w:r w:rsidR="001A7B45" w:rsidRPr="0048512A">
              <w:rPr>
                <w:rStyle w:val="Hyperlink"/>
                <w:noProof/>
              </w:rPr>
              <w:t>Data protection impact assessment</w:t>
            </w:r>
            <w:r w:rsidR="001A7B45">
              <w:rPr>
                <w:noProof/>
                <w:webHidden/>
              </w:rPr>
              <w:tab/>
            </w:r>
            <w:r w:rsidR="001A7B45">
              <w:rPr>
                <w:noProof/>
                <w:webHidden/>
              </w:rPr>
              <w:fldChar w:fldCharType="begin"/>
            </w:r>
            <w:r w:rsidR="001A7B45">
              <w:rPr>
                <w:noProof/>
                <w:webHidden/>
              </w:rPr>
              <w:instrText xml:space="preserve"> PAGEREF _Toc7544858 \h </w:instrText>
            </w:r>
            <w:r w:rsidR="001A7B45">
              <w:rPr>
                <w:noProof/>
                <w:webHidden/>
              </w:rPr>
            </w:r>
            <w:r w:rsidR="001A7B45">
              <w:rPr>
                <w:noProof/>
                <w:webHidden/>
              </w:rPr>
              <w:fldChar w:fldCharType="separate"/>
            </w:r>
            <w:r w:rsidR="00355AE5">
              <w:rPr>
                <w:noProof/>
                <w:webHidden/>
              </w:rPr>
              <w:t>8</w:t>
            </w:r>
            <w:r w:rsidR="001A7B45">
              <w:rPr>
                <w:noProof/>
                <w:webHidden/>
              </w:rPr>
              <w:fldChar w:fldCharType="end"/>
            </w:r>
          </w:hyperlink>
        </w:p>
        <w:p w14:paraId="63DACE90" w14:textId="2AA7F4F0" w:rsidR="001A7B45" w:rsidRDefault="00061F5F">
          <w:pPr>
            <w:pStyle w:val="TOC1"/>
            <w:tabs>
              <w:tab w:val="left" w:pos="440"/>
              <w:tab w:val="right" w:leader="dot" w:pos="9016"/>
            </w:tabs>
            <w:rPr>
              <w:rFonts w:eastAsiaTheme="minorEastAsia"/>
              <w:noProof/>
              <w:lang w:eastAsia="en-GB"/>
            </w:rPr>
          </w:pPr>
          <w:hyperlink w:anchor="_Toc7544859" w:history="1">
            <w:r w:rsidR="001A7B45" w:rsidRPr="0048512A">
              <w:rPr>
                <w:rStyle w:val="Hyperlink"/>
                <w:noProof/>
              </w:rPr>
              <w:t>7.</w:t>
            </w:r>
            <w:r w:rsidR="001A7B45">
              <w:rPr>
                <w:rFonts w:eastAsiaTheme="minorEastAsia"/>
                <w:noProof/>
                <w:lang w:eastAsia="en-GB"/>
              </w:rPr>
              <w:tab/>
            </w:r>
            <w:r w:rsidR="001A7B45" w:rsidRPr="0048512A">
              <w:rPr>
                <w:rStyle w:val="Hyperlink"/>
                <w:noProof/>
              </w:rPr>
              <w:t>Data Breach</w:t>
            </w:r>
            <w:r w:rsidR="001A7B45">
              <w:rPr>
                <w:noProof/>
                <w:webHidden/>
              </w:rPr>
              <w:tab/>
            </w:r>
            <w:r w:rsidR="001A7B45">
              <w:rPr>
                <w:noProof/>
                <w:webHidden/>
              </w:rPr>
              <w:fldChar w:fldCharType="begin"/>
            </w:r>
            <w:r w:rsidR="001A7B45">
              <w:rPr>
                <w:noProof/>
                <w:webHidden/>
              </w:rPr>
              <w:instrText xml:space="preserve"> PAGEREF _Toc7544859 \h </w:instrText>
            </w:r>
            <w:r w:rsidR="001A7B45">
              <w:rPr>
                <w:noProof/>
                <w:webHidden/>
              </w:rPr>
            </w:r>
            <w:r w:rsidR="001A7B45">
              <w:rPr>
                <w:noProof/>
                <w:webHidden/>
              </w:rPr>
              <w:fldChar w:fldCharType="separate"/>
            </w:r>
            <w:r w:rsidR="00355AE5">
              <w:rPr>
                <w:noProof/>
                <w:webHidden/>
              </w:rPr>
              <w:t>8</w:t>
            </w:r>
            <w:r w:rsidR="001A7B45">
              <w:rPr>
                <w:noProof/>
                <w:webHidden/>
              </w:rPr>
              <w:fldChar w:fldCharType="end"/>
            </w:r>
          </w:hyperlink>
        </w:p>
        <w:p w14:paraId="5C33638C" w14:textId="400C8AAB" w:rsidR="001A7B45" w:rsidRDefault="00061F5F">
          <w:pPr>
            <w:pStyle w:val="TOC1"/>
            <w:tabs>
              <w:tab w:val="left" w:pos="440"/>
              <w:tab w:val="right" w:leader="dot" w:pos="9016"/>
            </w:tabs>
            <w:rPr>
              <w:rFonts w:eastAsiaTheme="minorEastAsia"/>
              <w:noProof/>
              <w:lang w:eastAsia="en-GB"/>
            </w:rPr>
          </w:pPr>
          <w:hyperlink w:anchor="_Toc7544860" w:history="1">
            <w:r w:rsidR="001A7B45" w:rsidRPr="0048512A">
              <w:rPr>
                <w:rStyle w:val="Hyperlink"/>
                <w:noProof/>
              </w:rPr>
              <w:t>8.</w:t>
            </w:r>
            <w:r w:rsidR="001A7B45">
              <w:rPr>
                <w:rFonts w:eastAsiaTheme="minorEastAsia"/>
                <w:noProof/>
                <w:lang w:eastAsia="en-GB"/>
              </w:rPr>
              <w:tab/>
            </w:r>
            <w:r w:rsidR="001A7B45" w:rsidRPr="0048512A">
              <w:rPr>
                <w:rStyle w:val="Hyperlink"/>
                <w:noProof/>
              </w:rPr>
              <w:t>Disciplinary Consequences</w:t>
            </w:r>
            <w:r w:rsidR="001A7B45">
              <w:rPr>
                <w:noProof/>
                <w:webHidden/>
              </w:rPr>
              <w:tab/>
            </w:r>
            <w:r w:rsidR="001A7B45">
              <w:rPr>
                <w:noProof/>
                <w:webHidden/>
              </w:rPr>
              <w:fldChar w:fldCharType="begin"/>
            </w:r>
            <w:r w:rsidR="001A7B45">
              <w:rPr>
                <w:noProof/>
                <w:webHidden/>
              </w:rPr>
              <w:instrText xml:space="preserve"> PAGEREF _Toc7544860 \h </w:instrText>
            </w:r>
            <w:r w:rsidR="001A7B45">
              <w:rPr>
                <w:noProof/>
                <w:webHidden/>
              </w:rPr>
            </w:r>
            <w:r w:rsidR="001A7B45">
              <w:rPr>
                <w:noProof/>
                <w:webHidden/>
              </w:rPr>
              <w:fldChar w:fldCharType="separate"/>
            </w:r>
            <w:r w:rsidR="00355AE5">
              <w:rPr>
                <w:noProof/>
                <w:webHidden/>
              </w:rPr>
              <w:t>9</w:t>
            </w:r>
            <w:r w:rsidR="001A7B45">
              <w:rPr>
                <w:noProof/>
                <w:webHidden/>
              </w:rPr>
              <w:fldChar w:fldCharType="end"/>
            </w:r>
          </w:hyperlink>
        </w:p>
        <w:p w14:paraId="75FA1F07" w14:textId="47A859E8" w:rsidR="000F6C99" w:rsidRDefault="000F6C99">
          <w:r>
            <w:rPr>
              <w:b/>
              <w:bCs/>
              <w:noProof/>
            </w:rPr>
            <w:fldChar w:fldCharType="end"/>
          </w:r>
        </w:p>
      </w:sdtContent>
    </w:sdt>
    <w:p w14:paraId="3D811805" w14:textId="77777777" w:rsidR="000F6C99" w:rsidRDefault="000F6C99"/>
    <w:p w14:paraId="505DB756" w14:textId="77777777" w:rsidR="000F6C99" w:rsidRDefault="000F6C99">
      <w:pPr>
        <w:rPr>
          <w:rFonts w:asciiTheme="majorHAnsi" w:eastAsiaTheme="majorEastAsia" w:hAnsiTheme="majorHAnsi" w:cstheme="majorBidi"/>
          <w:color w:val="2F5496" w:themeColor="accent1" w:themeShade="BF"/>
          <w:sz w:val="32"/>
          <w:szCs w:val="32"/>
        </w:rPr>
      </w:pPr>
      <w:r>
        <w:br w:type="page"/>
      </w:r>
    </w:p>
    <w:p w14:paraId="01E9254B" w14:textId="5AE2F855" w:rsidR="008B528C" w:rsidRDefault="008B528C" w:rsidP="008B528C">
      <w:pPr>
        <w:pStyle w:val="Heading1"/>
        <w:numPr>
          <w:ilvl w:val="0"/>
          <w:numId w:val="1"/>
        </w:numPr>
        <w:ind w:hanging="720"/>
      </w:pPr>
      <w:bookmarkStart w:id="1" w:name="_Toc7544338"/>
      <w:bookmarkStart w:id="2" w:name="_Toc7544846"/>
      <w:r>
        <w:lastRenderedPageBreak/>
        <w:t>Management Summary</w:t>
      </w:r>
      <w:bookmarkEnd w:id="1"/>
      <w:bookmarkEnd w:id="2"/>
    </w:p>
    <w:p w14:paraId="3D8C9896" w14:textId="77777777" w:rsidR="008B528C" w:rsidRDefault="008B528C" w:rsidP="008B528C">
      <w:pPr>
        <w:ind w:left="720"/>
      </w:pPr>
    </w:p>
    <w:p w14:paraId="684864CB" w14:textId="7F8DBF92" w:rsidR="008B528C" w:rsidRDefault="008B528C" w:rsidP="008B528C">
      <w:pPr>
        <w:ind w:left="720"/>
      </w:pPr>
      <w:r>
        <w:t xml:space="preserve">The Data Protection Act 2018 is the UK’s implementation of the General Data Protection Regulation (GDPR). This Data Protection Policy forms the basis for complying with legal data protection requirements as well as the protection of the processed personal data of </w:t>
      </w:r>
      <w:r w:rsidR="00061F5F">
        <w:t>Retirement Capital</w:t>
      </w:r>
    </w:p>
    <w:p w14:paraId="2E15FCD3" w14:textId="70D4D783" w:rsidR="008B528C" w:rsidRDefault="008B528C" w:rsidP="008B528C">
      <w:pPr>
        <w:ind w:left="720"/>
      </w:pPr>
      <w:r>
        <w:t xml:space="preserve">Data protection is essential for </w:t>
      </w:r>
      <w:r w:rsidR="00061F5F">
        <w:t>Retirement Capital</w:t>
      </w:r>
      <w:r>
        <w:t xml:space="preserve"> in order to meet the legal requirements for handling person-al data. This data protection Policy is therefore made binding on all the organisation’s internal pro-cesses. This is data protection by design and is fundamental to the company’s policy and attitude to data protection.</w:t>
      </w:r>
    </w:p>
    <w:p w14:paraId="01C52EB1" w14:textId="6C17BF4A" w:rsidR="008B528C" w:rsidRDefault="00061F5F" w:rsidP="008B528C">
      <w:pPr>
        <w:ind w:left="720"/>
      </w:pPr>
      <w:r>
        <w:t>Retirement Capital</w:t>
      </w:r>
      <w:r w:rsidR="008B528C">
        <w:t xml:space="preserve"> is both a data controller and a data processor as defined under the Act. The former because we hold necessary data on our staff, subcontractors, suppliers and customers. The latter because we provide cloud processing services for government and private sector customers.</w:t>
      </w:r>
    </w:p>
    <w:p w14:paraId="049CEFEE" w14:textId="796BA6A1" w:rsidR="008B528C" w:rsidRDefault="008B528C" w:rsidP="008B528C">
      <w:pPr>
        <w:ind w:left="720"/>
      </w:pPr>
      <w:r>
        <w:t>Under the Act, everyone responsible for using personal data has to follow strict rules called data protection principles. They must make sure the information is:</w:t>
      </w:r>
    </w:p>
    <w:p w14:paraId="7718A5E4" w14:textId="77777777" w:rsidR="008B528C" w:rsidRDefault="008B528C" w:rsidP="008B528C">
      <w:pPr>
        <w:ind w:left="1713" w:hanging="567"/>
      </w:pPr>
      <w:r>
        <w:t>•</w:t>
      </w:r>
      <w:r>
        <w:tab/>
        <w:t>used fairly, lawfully and transparently</w:t>
      </w:r>
    </w:p>
    <w:p w14:paraId="07A11F38" w14:textId="77777777" w:rsidR="008B528C" w:rsidRDefault="008B528C" w:rsidP="008B528C">
      <w:pPr>
        <w:ind w:left="1713" w:hanging="567"/>
      </w:pPr>
      <w:r>
        <w:t>•</w:t>
      </w:r>
      <w:r>
        <w:tab/>
        <w:t>used for specified, explicit purposes</w:t>
      </w:r>
    </w:p>
    <w:p w14:paraId="4B375B1E" w14:textId="77777777" w:rsidR="008B528C" w:rsidRDefault="008B528C" w:rsidP="008B528C">
      <w:pPr>
        <w:ind w:left="1713" w:hanging="567"/>
      </w:pPr>
      <w:r>
        <w:t>•</w:t>
      </w:r>
      <w:r>
        <w:tab/>
        <w:t>used in a way that is adequate, relevant and limited to only what is necessary</w:t>
      </w:r>
    </w:p>
    <w:p w14:paraId="25AF7B72" w14:textId="77777777" w:rsidR="008B528C" w:rsidRDefault="008B528C" w:rsidP="008B528C">
      <w:pPr>
        <w:ind w:left="1713" w:hanging="567"/>
      </w:pPr>
      <w:r>
        <w:t>•</w:t>
      </w:r>
      <w:r>
        <w:tab/>
        <w:t>accurate and, where necessary, kept up to date</w:t>
      </w:r>
    </w:p>
    <w:p w14:paraId="581F8D51" w14:textId="77777777" w:rsidR="008B528C" w:rsidRDefault="008B528C" w:rsidP="008B528C">
      <w:pPr>
        <w:ind w:left="1713" w:hanging="567"/>
      </w:pPr>
      <w:r>
        <w:t>•</w:t>
      </w:r>
      <w:r>
        <w:tab/>
        <w:t>kept for no longer than is necessary</w:t>
      </w:r>
    </w:p>
    <w:p w14:paraId="4D7D5283" w14:textId="77777777" w:rsidR="008B528C" w:rsidRDefault="008B528C" w:rsidP="008B528C">
      <w:pPr>
        <w:ind w:left="1713" w:hanging="567"/>
      </w:pPr>
      <w:r>
        <w:t>•</w:t>
      </w:r>
      <w:r>
        <w:tab/>
        <w:t>handled in a way that ensures appropriate security, including protection against unlawful or unauthorised processing, access, loss, destruction or damage</w:t>
      </w:r>
    </w:p>
    <w:p w14:paraId="54A24D0B" w14:textId="25051983" w:rsidR="008B528C" w:rsidRDefault="008B528C" w:rsidP="008B528C">
      <w:pPr>
        <w:ind w:left="720"/>
      </w:pPr>
      <w:r>
        <w:t>This Data Protection Policy regulates the handling of personal data. In particular, it is intended to:</w:t>
      </w:r>
    </w:p>
    <w:p w14:paraId="51C02253" w14:textId="77777777" w:rsidR="008B528C" w:rsidRDefault="008B528C" w:rsidP="008B528C">
      <w:pPr>
        <w:ind w:left="1713" w:hanging="567"/>
      </w:pPr>
      <w:r>
        <w:t>•</w:t>
      </w:r>
      <w:r>
        <w:tab/>
        <w:t>Assign responsibilities and obligations for all relevant privacy issues,</w:t>
      </w:r>
    </w:p>
    <w:p w14:paraId="52F1A9AF" w14:textId="77777777" w:rsidR="008B528C" w:rsidRDefault="008B528C" w:rsidP="008B528C">
      <w:pPr>
        <w:ind w:left="1713" w:hanging="567"/>
      </w:pPr>
      <w:r>
        <w:t>•</w:t>
      </w:r>
      <w:r>
        <w:tab/>
        <w:t>Raise awareness of the need for strategic, technical and organisational measures to ensure data protection requirements, and</w:t>
      </w:r>
    </w:p>
    <w:p w14:paraId="1C078F1E" w14:textId="77777777" w:rsidR="008B528C" w:rsidRDefault="008B528C" w:rsidP="008B528C">
      <w:pPr>
        <w:ind w:left="1713" w:hanging="567"/>
      </w:pPr>
      <w:r>
        <w:t>•</w:t>
      </w:r>
      <w:r>
        <w:tab/>
        <w:t>Define the procedure for dealing with data Breach incidents. </w:t>
      </w:r>
    </w:p>
    <w:p w14:paraId="690A44FE" w14:textId="673E68B1" w:rsidR="008B528C" w:rsidRDefault="008B528C" w:rsidP="008B528C">
      <w:pPr>
        <w:pStyle w:val="Heading1"/>
      </w:pPr>
      <w:bookmarkStart w:id="3" w:name="_Toc7544339"/>
      <w:bookmarkStart w:id="4" w:name="_Toc7544847"/>
      <w:r>
        <w:t xml:space="preserve">2. </w:t>
      </w:r>
      <w:r>
        <w:tab/>
        <w:t>Principles</w:t>
      </w:r>
      <w:bookmarkEnd w:id="3"/>
      <w:bookmarkEnd w:id="4"/>
    </w:p>
    <w:p w14:paraId="18F5B1B8" w14:textId="4BB7CB1E" w:rsidR="00CB7848" w:rsidRDefault="008B528C" w:rsidP="008B528C">
      <w:pPr>
        <w:pStyle w:val="Heading2"/>
      </w:pPr>
      <w:bookmarkStart w:id="5" w:name="_Toc7544340"/>
      <w:bookmarkStart w:id="6" w:name="_Toc7544848"/>
      <w:r>
        <w:t xml:space="preserve">2.1 </w:t>
      </w:r>
      <w:r>
        <w:tab/>
      </w:r>
      <w:r w:rsidR="00CB7848">
        <w:t>Policy Statement</w:t>
      </w:r>
      <w:bookmarkEnd w:id="5"/>
      <w:bookmarkEnd w:id="6"/>
    </w:p>
    <w:p w14:paraId="64F81E1B" w14:textId="6D109941" w:rsidR="00CB7848" w:rsidRDefault="00061F5F" w:rsidP="00CB7848">
      <w:pPr>
        <w:ind w:left="720"/>
      </w:pPr>
      <w:r>
        <w:t>Retirement Capital</w:t>
      </w:r>
      <w:r w:rsidR="00CB7848">
        <w:t xml:space="preserve"> commits to the following:</w:t>
      </w:r>
    </w:p>
    <w:p w14:paraId="08D0B064" w14:textId="6B108AD7" w:rsidR="00CB7848" w:rsidRDefault="00CB7848" w:rsidP="00CB7848">
      <w:pPr>
        <w:pStyle w:val="ListParagraph"/>
        <w:numPr>
          <w:ilvl w:val="0"/>
          <w:numId w:val="4"/>
        </w:numPr>
      </w:pPr>
      <w:r>
        <w:t>To comply with the Data Protection Act 2018 and with best practice.</w:t>
      </w:r>
    </w:p>
    <w:p w14:paraId="74AB4B52" w14:textId="4EBB258A" w:rsidR="00CB7848" w:rsidRDefault="00CB7848" w:rsidP="00CB7848">
      <w:pPr>
        <w:pStyle w:val="ListParagraph"/>
        <w:numPr>
          <w:ilvl w:val="0"/>
          <w:numId w:val="4"/>
        </w:numPr>
      </w:pPr>
      <w:r>
        <w:t>To respect the rights of individuals.</w:t>
      </w:r>
    </w:p>
    <w:p w14:paraId="7C9C07E1" w14:textId="70DF4386" w:rsidR="00CB7848" w:rsidRDefault="00CB7848" w:rsidP="00CB7848">
      <w:pPr>
        <w:pStyle w:val="ListParagraph"/>
        <w:numPr>
          <w:ilvl w:val="0"/>
          <w:numId w:val="4"/>
        </w:numPr>
      </w:pPr>
      <w:r>
        <w:t>To be open and honest with individuals whose data is held.</w:t>
      </w:r>
    </w:p>
    <w:p w14:paraId="402E6B22" w14:textId="42F5CA02" w:rsidR="00CB7848" w:rsidRDefault="00CB7848" w:rsidP="00CB7848">
      <w:pPr>
        <w:pStyle w:val="ListParagraph"/>
        <w:numPr>
          <w:ilvl w:val="0"/>
          <w:numId w:val="4"/>
        </w:numPr>
      </w:pPr>
      <w:r>
        <w:t>To provide training and support for staff who handle personal data so that they can act confidently and consistently.</w:t>
      </w:r>
    </w:p>
    <w:p w14:paraId="6A537754" w14:textId="526ED292" w:rsidR="00CB7848" w:rsidRPr="00CB7848" w:rsidRDefault="00CB7848" w:rsidP="00CB7848">
      <w:pPr>
        <w:pStyle w:val="ListParagraph"/>
        <w:numPr>
          <w:ilvl w:val="0"/>
          <w:numId w:val="4"/>
        </w:numPr>
      </w:pPr>
      <w:r>
        <w:lastRenderedPageBreak/>
        <w:t>To notify the Information Commissioner and any affected persons and organisations of any breach.</w:t>
      </w:r>
    </w:p>
    <w:p w14:paraId="5716531C" w14:textId="6012C90C" w:rsidR="008B528C" w:rsidRDefault="00CB7848" w:rsidP="008B528C">
      <w:pPr>
        <w:pStyle w:val="Heading2"/>
      </w:pPr>
      <w:bookmarkStart w:id="7" w:name="_Toc7544341"/>
      <w:bookmarkStart w:id="8" w:name="_Toc7544849"/>
      <w:r>
        <w:t>2.2</w:t>
      </w:r>
      <w:r>
        <w:tab/>
      </w:r>
      <w:r w:rsidR="008B528C">
        <w:t>Management Commitment</w:t>
      </w:r>
      <w:bookmarkEnd w:id="7"/>
      <w:bookmarkEnd w:id="8"/>
    </w:p>
    <w:p w14:paraId="0E7F2C0C" w14:textId="57D6C328" w:rsidR="008B528C" w:rsidRDefault="008B528C" w:rsidP="008B528C">
      <w:pPr>
        <w:ind w:left="720"/>
      </w:pPr>
      <w:r>
        <w:t xml:space="preserve">The management of </w:t>
      </w:r>
      <w:r w:rsidR="00061F5F">
        <w:t>Retirement Capital</w:t>
      </w:r>
      <w:r>
        <w:t xml:space="preserve"> considers this Data Protection Policy to be part of its corporate strategy. The Board has reviewed and fully supports the objectives and principles of the data protection policy in line with business strategy and objectives. </w:t>
      </w:r>
    </w:p>
    <w:p w14:paraId="2F055966" w14:textId="3CAE2AD4" w:rsidR="008B528C" w:rsidRDefault="008B528C" w:rsidP="00CB7848">
      <w:pPr>
        <w:pStyle w:val="Heading2"/>
      </w:pPr>
      <w:bookmarkStart w:id="9" w:name="_Toc7544342"/>
      <w:bookmarkStart w:id="10" w:name="_Toc7544850"/>
      <w:r>
        <w:t xml:space="preserve">2.2 </w:t>
      </w:r>
      <w:r>
        <w:tab/>
        <w:t>Policy</w:t>
      </w:r>
      <w:bookmarkEnd w:id="9"/>
      <w:bookmarkEnd w:id="10"/>
    </w:p>
    <w:p w14:paraId="7B436FCC" w14:textId="66151719" w:rsidR="008B528C" w:rsidRDefault="008B528C" w:rsidP="00CB7848">
      <w:pPr>
        <w:ind w:left="720"/>
      </w:pPr>
      <w:r>
        <w:t>Data protection management is the responsibility of all staff but is managed and controlled by the Data Protection Officer on behalf of the Board for all relevant legal, technological and organisational matters.</w:t>
      </w:r>
    </w:p>
    <w:p w14:paraId="522405FA" w14:textId="4D4F97C8" w:rsidR="004A0919" w:rsidRDefault="004A0919" w:rsidP="00CB7848">
      <w:pPr>
        <w:ind w:left="720"/>
      </w:pPr>
      <w:r>
        <w:t>The purpose of the policy is to:</w:t>
      </w:r>
    </w:p>
    <w:p w14:paraId="017EACD3" w14:textId="38AC6E2B" w:rsidR="004A0919" w:rsidRDefault="004A0919" w:rsidP="00CB7848">
      <w:pPr>
        <w:pStyle w:val="ListParagraph"/>
        <w:numPr>
          <w:ilvl w:val="0"/>
          <w:numId w:val="3"/>
        </w:numPr>
        <w:ind w:left="1440"/>
      </w:pPr>
      <w:r>
        <w:t>Comply with the Data Protection Act 2018</w:t>
      </w:r>
    </w:p>
    <w:p w14:paraId="4A0B3386" w14:textId="5410363B" w:rsidR="004A0919" w:rsidRDefault="004A0919" w:rsidP="00CB7848">
      <w:pPr>
        <w:pStyle w:val="ListParagraph"/>
        <w:numPr>
          <w:ilvl w:val="0"/>
          <w:numId w:val="3"/>
        </w:numPr>
        <w:ind w:left="1440"/>
      </w:pPr>
      <w:r>
        <w:t>Implement of Good Practice</w:t>
      </w:r>
    </w:p>
    <w:p w14:paraId="03EFA97A" w14:textId="26FD7B24" w:rsidR="004A0919" w:rsidRDefault="004A0919" w:rsidP="00CB7848">
      <w:pPr>
        <w:pStyle w:val="ListParagraph"/>
        <w:numPr>
          <w:ilvl w:val="0"/>
          <w:numId w:val="3"/>
        </w:numPr>
        <w:ind w:left="1440"/>
      </w:pPr>
      <w:r>
        <w:t>Protect Clients, Suppliers, Staff and other individuals</w:t>
      </w:r>
    </w:p>
    <w:p w14:paraId="306A5740" w14:textId="66D94269" w:rsidR="00CB7848" w:rsidRDefault="00CB7848" w:rsidP="00CB7848">
      <w:pPr>
        <w:pStyle w:val="ListParagraph"/>
        <w:numPr>
          <w:ilvl w:val="0"/>
          <w:numId w:val="3"/>
        </w:numPr>
        <w:ind w:left="1440"/>
      </w:pPr>
      <w:r>
        <w:t>Protect the company</w:t>
      </w:r>
    </w:p>
    <w:p w14:paraId="547814A2" w14:textId="77777777" w:rsidR="008B528C" w:rsidRDefault="008B528C" w:rsidP="00CB7848">
      <w:pPr>
        <w:pStyle w:val="Heading2"/>
      </w:pPr>
      <w:bookmarkStart w:id="11" w:name="_Toc7544343"/>
      <w:bookmarkStart w:id="12" w:name="_Toc7544851"/>
      <w:r>
        <w:t>2.3</w:t>
      </w:r>
      <w:r>
        <w:tab/>
        <w:t>Scope</w:t>
      </w:r>
      <w:bookmarkEnd w:id="11"/>
      <w:bookmarkEnd w:id="12"/>
    </w:p>
    <w:p w14:paraId="1DBC64EB" w14:textId="07F23E66" w:rsidR="008B528C" w:rsidRDefault="008B528C" w:rsidP="00CB7848">
      <w:pPr>
        <w:ind w:left="720"/>
      </w:pPr>
      <w:r>
        <w:t>This policy applies to all staff and all staff locations, all contractors and sub-contractors and all suppliers. Suppliers are required to implement their own Data Protection policies which fully conform to the Data Protection Act of 2018 or equivalent GDPR regulations if the supplier’s main business location is outside the UK.</w:t>
      </w:r>
    </w:p>
    <w:p w14:paraId="70AFA3F7" w14:textId="57039743" w:rsidR="00CB7848" w:rsidRDefault="00A328A5" w:rsidP="00CB7848">
      <w:pPr>
        <w:pStyle w:val="Heading2"/>
      </w:pPr>
      <w:bookmarkStart w:id="13" w:name="_Toc7544344"/>
      <w:bookmarkStart w:id="14" w:name="_Toc7544852"/>
      <w:r>
        <w:t>2.4</w:t>
      </w:r>
      <w:r w:rsidR="00CB7848">
        <w:tab/>
        <w:t>Data Protection Officer</w:t>
      </w:r>
      <w:bookmarkEnd w:id="13"/>
      <w:bookmarkEnd w:id="14"/>
    </w:p>
    <w:p w14:paraId="1D323B16" w14:textId="77777777" w:rsidR="00CB7848" w:rsidRDefault="00CB7848" w:rsidP="00CB7848">
      <w:pPr>
        <w:ind w:left="720"/>
      </w:pPr>
      <w:r>
        <w:t>The company has appointed a Data Protection Officer who is responsible for ensuring that the provisions of the Act are adhered to and for monitoring the adherence to policies and processes. The responsibilities of the DPO include:</w:t>
      </w:r>
    </w:p>
    <w:p w14:paraId="4F35596D" w14:textId="77777777" w:rsidR="00CB7848" w:rsidRDefault="00CB7848" w:rsidP="00CB7848">
      <w:pPr>
        <w:ind w:left="720"/>
      </w:pPr>
      <w:r>
        <w:t>•</w:t>
      </w:r>
      <w:r>
        <w:tab/>
        <w:t>Staff awareness of Data Protection, including staff training.</w:t>
      </w:r>
    </w:p>
    <w:p w14:paraId="14786A5E" w14:textId="01E1F24F" w:rsidR="00CB7848" w:rsidRDefault="00CB7848" w:rsidP="00CB7848">
      <w:pPr>
        <w:pStyle w:val="ListParagraph"/>
        <w:numPr>
          <w:ilvl w:val="0"/>
          <w:numId w:val="6"/>
        </w:numPr>
        <w:ind w:hanging="731"/>
        <w:contextualSpacing w:val="0"/>
      </w:pPr>
      <w:r>
        <w:t>Briefing the Board on their Data Protection responsibilities</w:t>
      </w:r>
      <w:r w:rsidR="00A328A5">
        <w:t>.</w:t>
      </w:r>
    </w:p>
    <w:p w14:paraId="10AFD43E" w14:textId="5419651D" w:rsidR="00CB7848" w:rsidRDefault="00CB7848" w:rsidP="00CB7848">
      <w:pPr>
        <w:pStyle w:val="ListParagraph"/>
        <w:numPr>
          <w:ilvl w:val="0"/>
          <w:numId w:val="6"/>
        </w:numPr>
        <w:ind w:hanging="731"/>
        <w:contextualSpacing w:val="0"/>
      </w:pPr>
      <w:r>
        <w:t>Reviewing Data Protection and related policies</w:t>
      </w:r>
      <w:r w:rsidR="00A328A5">
        <w:t>.</w:t>
      </w:r>
    </w:p>
    <w:p w14:paraId="183EF9EB" w14:textId="6D48EE04" w:rsidR="00CB7848" w:rsidRDefault="00CB7848" w:rsidP="00CB7848">
      <w:pPr>
        <w:pStyle w:val="ListParagraph"/>
        <w:numPr>
          <w:ilvl w:val="0"/>
          <w:numId w:val="6"/>
        </w:numPr>
        <w:ind w:hanging="731"/>
        <w:contextualSpacing w:val="0"/>
      </w:pPr>
      <w:r>
        <w:t>Handling subject access requests</w:t>
      </w:r>
      <w:r w:rsidR="00A328A5">
        <w:t>.</w:t>
      </w:r>
    </w:p>
    <w:p w14:paraId="0E8E2196" w14:textId="21DFF030" w:rsidR="00CB7848" w:rsidRDefault="00CB7848" w:rsidP="00CB7848">
      <w:pPr>
        <w:pStyle w:val="ListParagraph"/>
        <w:numPr>
          <w:ilvl w:val="0"/>
          <w:numId w:val="6"/>
        </w:numPr>
        <w:ind w:hanging="731"/>
        <w:contextualSpacing w:val="0"/>
      </w:pPr>
      <w:r>
        <w:t>Approving unusual or controversial disclosures of personal data</w:t>
      </w:r>
      <w:r w:rsidR="00A328A5">
        <w:t>.</w:t>
      </w:r>
    </w:p>
    <w:p w14:paraId="66A7954B" w14:textId="270E2819" w:rsidR="00A328A5" w:rsidRDefault="00A328A5" w:rsidP="00CB7848">
      <w:pPr>
        <w:pStyle w:val="ListParagraph"/>
        <w:numPr>
          <w:ilvl w:val="0"/>
          <w:numId w:val="6"/>
        </w:numPr>
        <w:ind w:hanging="731"/>
        <w:contextualSpacing w:val="0"/>
      </w:pPr>
      <w:r>
        <w:t>Approving contracts with Data Processors.</w:t>
      </w:r>
    </w:p>
    <w:p w14:paraId="57A7F92D" w14:textId="65250592" w:rsidR="00CB7848" w:rsidRDefault="00CB7848" w:rsidP="00CB7848">
      <w:pPr>
        <w:ind w:left="720"/>
      </w:pPr>
      <w:r>
        <w:t>•</w:t>
      </w:r>
      <w:r>
        <w:tab/>
        <w:t>Monitoring compliance with legal requirements</w:t>
      </w:r>
      <w:r w:rsidR="00A328A5">
        <w:t>.</w:t>
      </w:r>
    </w:p>
    <w:p w14:paraId="620F2490" w14:textId="58539E9C" w:rsidR="00CB7848" w:rsidRDefault="00CB7848" w:rsidP="00CB7848">
      <w:pPr>
        <w:ind w:left="720"/>
      </w:pPr>
      <w:r>
        <w:t>•</w:t>
      </w:r>
      <w:r>
        <w:tab/>
        <w:t>Monitoring compliance with procedures for the protection of personal data</w:t>
      </w:r>
      <w:r w:rsidR="00A328A5">
        <w:t>.</w:t>
      </w:r>
    </w:p>
    <w:p w14:paraId="79FA93C2" w14:textId="57835AA3" w:rsidR="00CB7848" w:rsidRDefault="00CB7848" w:rsidP="00CB7848">
      <w:pPr>
        <w:ind w:left="720"/>
      </w:pPr>
      <w:r>
        <w:t>•</w:t>
      </w:r>
      <w:r>
        <w:tab/>
        <w:t>Data protection impact assessment</w:t>
      </w:r>
      <w:r w:rsidR="00A328A5">
        <w:t>.</w:t>
      </w:r>
    </w:p>
    <w:p w14:paraId="1D036573" w14:textId="5054E633" w:rsidR="00CB7848" w:rsidRDefault="00CB7848" w:rsidP="00CB7848">
      <w:pPr>
        <w:ind w:left="720"/>
      </w:pPr>
      <w:r>
        <w:t>•</w:t>
      </w:r>
      <w:r>
        <w:tab/>
        <w:t>Cooperation and liaison with the supervisory authority</w:t>
      </w:r>
      <w:r w:rsidR="00A328A5">
        <w:t>.</w:t>
      </w:r>
    </w:p>
    <w:p w14:paraId="37FBE688" w14:textId="641011AF" w:rsidR="00CB7848" w:rsidRDefault="00CB7848" w:rsidP="00CB7848">
      <w:pPr>
        <w:ind w:left="720"/>
      </w:pPr>
      <w:r>
        <w:t>•</w:t>
      </w:r>
      <w:r>
        <w:tab/>
        <w:t>Contact point for the supervisory authority on work-related issues</w:t>
      </w:r>
      <w:r w:rsidR="00A328A5">
        <w:t>.</w:t>
      </w:r>
    </w:p>
    <w:p w14:paraId="0EF5BDE3" w14:textId="77777777" w:rsidR="00CB7848" w:rsidRDefault="00CB7848" w:rsidP="00CB7848">
      <w:pPr>
        <w:ind w:left="720"/>
      </w:pPr>
      <w:r>
        <w:t>•</w:t>
      </w:r>
      <w:r>
        <w:tab/>
        <w:t>Point of contact for reporting breaches of data protection</w:t>
      </w:r>
    </w:p>
    <w:p w14:paraId="1888D254" w14:textId="3275E516" w:rsidR="00CB7848" w:rsidRDefault="00A328A5" w:rsidP="00CB7848">
      <w:pPr>
        <w:pStyle w:val="Heading2"/>
      </w:pPr>
      <w:bookmarkStart w:id="15" w:name="_Toc7544345"/>
      <w:bookmarkStart w:id="16" w:name="_Toc7544853"/>
      <w:r>
        <w:lastRenderedPageBreak/>
        <w:t>2.5</w:t>
      </w:r>
      <w:r w:rsidR="00CB7848">
        <w:tab/>
        <w:t>Users</w:t>
      </w:r>
      <w:bookmarkEnd w:id="15"/>
      <w:bookmarkEnd w:id="16"/>
    </w:p>
    <w:p w14:paraId="53F9A9B8" w14:textId="2BF0E371" w:rsidR="00CB7848" w:rsidRDefault="00CB7848" w:rsidP="00CB7848">
      <w:pPr>
        <w:ind w:left="720"/>
      </w:pPr>
      <w:r>
        <w:t xml:space="preserve">Each employee is responsible for complying with the Data Protection Policy. </w:t>
      </w:r>
    </w:p>
    <w:p w14:paraId="24F88685" w14:textId="56331D31" w:rsidR="008B528C" w:rsidRDefault="008B528C" w:rsidP="00CB7848">
      <w:pPr>
        <w:pStyle w:val="Heading2"/>
      </w:pPr>
      <w:bookmarkStart w:id="17" w:name="_Toc7544346"/>
      <w:bookmarkStart w:id="18" w:name="_Toc7544854"/>
      <w:r>
        <w:t>2.</w:t>
      </w:r>
      <w:r w:rsidR="00A328A5">
        <w:t>6</w:t>
      </w:r>
      <w:r>
        <w:tab/>
        <w:t>Summary</w:t>
      </w:r>
      <w:bookmarkEnd w:id="17"/>
      <w:bookmarkEnd w:id="18"/>
    </w:p>
    <w:p w14:paraId="6D4D6BAA" w14:textId="43DE27EB" w:rsidR="008B528C" w:rsidRDefault="008B528C" w:rsidP="00CB7848">
      <w:pPr>
        <w:ind w:left="720"/>
      </w:pPr>
      <w:r>
        <w:t>Appropriate technical and organisation measures should be taken against unauthorised or unlawful processing or disclosure of personal data and against accidental loss, destruction of or damage to personal data. These measures include:</w:t>
      </w:r>
    </w:p>
    <w:p w14:paraId="7937F1BC" w14:textId="77777777" w:rsidR="008B528C" w:rsidRDefault="008B528C" w:rsidP="00CB7848">
      <w:pPr>
        <w:ind w:left="1407" w:hanging="687"/>
      </w:pPr>
      <w:r>
        <w:t>•</w:t>
      </w:r>
      <w:r>
        <w:tab/>
        <w:t>Encryption of data</w:t>
      </w:r>
    </w:p>
    <w:p w14:paraId="7241ADBC" w14:textId="77777777" w:rsidR="008B528C" w:rsidRDefault="008B528C" w:rsidP="00CB7848">
      <w:pPr>
        <w:ind w:left="1407" w:hanging="687"/>
      </w:pPr>
      <w:r>
        <w:t>•</w:t>
      </w:r>
      <w:r>
        <w:tab/>
        <w:t>Ongoing security reviews</w:t>
      </w:r>
    </w:p>
    <w:p w14:paraId="5CB2E9A0" w14:textId="5BC5C6A9" w:rsidR="008B528C" w:rsidRDefault="008B528C" w:rsidP="00CB7848">
      <w:pPr>
        <w:ind w:left="1407" w:hanging="687"/>
      </w:pPr>
      <w:r>
        <w:t>•</w:t>
      </w:r>
      <w:r>
        <w:tab/>
        <w:t>Appropriate backup and restore capabilities</w:t>
      </w:r>
    </w:p>
    <w:p w14:paraId="56B9815B" w14:textId="77777777" w:rsidR="008B528C" w:rsidRDefault="008B528C" w:rsidP="00CB7848">
      <w:pPr>
        <w:ind w:left="1407" w:hanging="687"/>
      </w:pPr>
      <w:r>
        <w:t>•</w:t>
      </w:r>
      <w:r>
        <w:tab/>
        <w:t>Regular testing of business continuity plans and data security</w:t>
      </w:r>
    </w:p>
    <w:p w14:paraId="25A45EEB" w14:textId="77777777" w:rsidR="008B528C" w:rsidRDefault="008B528C" w:rsidP="00CB7848">
      <w:pPr>
        <w:ind w:left="1407" w:hanging="687"/>
      </w:pPr>
      <w:r>
        <w:t>•</w:t>
      </w:r>
      <w:r>
        <w:tab/>
        <w:t>Process for recording security breaches to management and to the Information Commissioner’s Office (ICO)</w:t>
      </w:r>
    </w:p>
    <w:p w14:paraId="2DDA3590" w14:textId="77777777" w:rsidR="008B528C" w:rsidRDefault="008B528C" w:rsidP="00CB7848">
      <w:pPr>
        <w:ind w:left="1407" w:hanging="687"/>
      </w:pPr>
      <w:r>
        <w:t>•</w:t>
      </w:r>
      <w:r>
        <w:tab/>
        <w:t>Staff training: all staff are required to complete Data Protection and Cybersecurity training annually</w:t>
      </w:r>
    </w:p>
    <w:p w14:paraId="2745A723" w14:textId="77777777" w:rsidR="008B528C" w:rsidRDefault="008B528C" w:rsidP="00CB7848">
      <w:pPr>
        <w:ind w:left="1407" w:hanging="687"/>
      </w:pPr>
      <w:r>
        <w:t>•</w:t>
      </w:r>
      <w:r>
        <w:tab/>
        <w:t>Monitoring of adherence to the policy</w:t>
      </w:r>
    </w:p>
    <w:p w14:paraId="3629AAAE" w14:textId="77777777" w:rsidR="008B528C" w:rsidRDefault="008B528C" w:rsidP="00CB7848">
      <w:pPr>
        <w:ind w:left="1407" w:hanging="687"/>
      </w:pPr>
      <w:r>
        <w:t>•</w:t>
      </w:r>
      <w:r>
        <w:tab/>
        <w:t>Assessing and monitoring supplier’s adherence to the Act</w:t>
      </w:r>
    </w:p>
    <w:p w14:paraId="5B9F99AA" w14:textId="3AD6A5F0" w:rsidR="008B528C" w:rsidRDefault="008B528C" w:rsidP="00CB7848">
      <w:pPr>
        <w:ind w:left="720"/>
      </w:pPr>
      <w:r>
        <w:t>In addition, this policy and associated procedures includes the management of:</w:t>
      </w:r>
    </w:p>
    <w:p w14:paraId="1646A8FF" w14:textId="77777777" w:rsidR="008B528C" w:rsidRDefault="008B528C" w:rsidP="00CB7848">
      <w:pPr>
        <w:ind w:left="720"/>
      </w:pPr>
      <w:r>
        <w:t>•</w:t>
      </w:r>
      <w:r>
        <w:tab/>
        <w:t>Smartphone security, password protection and erasure if lost.</w:t>
      </w:r>
    </w:p>
    <w:p w14:paraId="2FCDEC6B" w14:textId="77777777" w:rsidR="008B528C" w:rsidRDefault="008B528C" w:rsidP="00CB7848">
      <w:pPr>
        <w:ind w:left="720"/>
      </w:pPr>
      <w:r>
        <w:t>•</w:t>
      </w:r>
      <w:r>
        <w:tab/>
        <w:t>Laptop encryption and extent of data held on laptops.</w:t>
      </w:r>
    </w:p>
    <w:p w14:paraId="09F39E0A" w14:textId="7E902A93" w:rsidR="008B528C" w:rsidRDefault="008B528C" w:rsidP="00CB7848">
      <w:pPr>
        <w:ind w:left="720"/>
      </w:pPr>
      <w:r>
        <w:t>•</w:t>
      </w:r>
      <w:r>
        <w:tab/>
        <w:t>Physical security of paper documentation and office computers.</w:t>
      </w:r>
    </w:p>
    <w:p w14:paraId="62029EF4" w14:textId="77777777" w:rsidR="008B528C" w:rsidRDefault="008B528C" w:rsidP="00CB7848">
      <w:pPr>
        <w:ind w:left="720"/>
      </w:pPr>
      <w:r>
        <w:t>•</w:t>
      </w:r>
      <w:r>
        <w:tab/>
        <w:t>Password protection and resetting.</w:t>
      </w:r>
    </w:p>
    <w:p w14:paraId="1998CEC2" w14:textId="77777777" w:rsidR="008B528C" w:rsidRDefault="008B528C" w:rsidP="00CB7848">
      <w:pPr>
        <w:ind w:left="720"/>
      </w:pPr>
      <w:r>
        <w:t>•</w:t>
      </w:r>
      <w:r>
        <w:tab/>
        <w:t>Internet security and spyware protection.</w:t>
      </w:r>
    </w:p>
    <w:p w14:paraId="1640B355" w14:textId="77777777" w:rsidR="008B528C" w:rsidRDefault="008B528C" w:rsidP="00CB7848">
      <w:pPr>
        <w:ind w:left="720"/>
      </w:pPr>
      <w:r>
        <w:t>•</w:t>
      </w:r>
      <w:r>
        <w:tab/>
        <w:t>Email encryption, secure messaging and secure file-sharing.</w:t>
      </w:r>
    </w:p>
    <w:p w14:paraId="4B2C88F6" w14:textId="4F7F0105" w:rsidR="008B528C" w:rsidRDefault="008B528C" w:rsidP="00CB7848">
      <w:pPr>
        <w:ind w:left="720"/>
      </w:pPr>
      <w:r>
        <w:t>•</w:t>
      </w:r>
      <w:r>
        <w:tab/>
        <w:t>Information held online via third-party servers.</w:t>
      </w:r>
    </w:p>
    <w:p w14:paraId="068F3158" w14:textId="77777777" w:rsidR="008B528C" w:rsidRDefault="008B528C" w:rsidP="00CB7848">
      <w:pPr>
        <w:ind w:left="720"/>
      </w:pPr>
      <w:r>
        <w:t>•</w:t>
      </w:r>
      <w:r>
        <w:tab/>
        <w:t>Back-up drives.</w:t>
      </w:r>
    </w:p>
    <w:p w14:paraId="3E64A6A1" w14:textId="77777777" w:rsidR="008B528C" w:rsidRDefault="008B528C" w:rsidP="00CB7848">
      <w:pPr>
        <w:ind w:left="720"/>
      </w:pPr>
      <w:r>
        <w:t>•</w:t>
      </w:r>
      <w:r>
        <w:tab/>
        <w:t>Secure document disposal.</w:t>
      </w:r>
    </w:p>
    <w:p w14:paraId="36594807" w14:textId="66A6CF16" w:rsidR="008B528C" w:rsidRDefault="008B528C" w:rsidP="00CB7848">
      <w:pPr>
        <w:ind w:left="720"/>
      </w:pPr>
      <w:r>
        <w:t>•</w:t>
      </w:r>
      <w:r>
        <w:tab/>
        <w:t>Visibility of computer screens.</w:t>
      </w:r>
    </w:p>
    <w:p w14:paraId="1A2D10B5" w14:textId="28637D79" w:rsidR="008B528C" w:rsidRDefault="008B528C" w:rsidP="00CB7848">
      <w:pPr>
        <w:ind w:left="720"/>
      </w:pPr>
      <w:r>
        <w:t>•</w:t>
      </w:r>
      <w:r>
        <w:tab/>
        <w:t>Telephone conversations in public or insecure environments.</w:t>
      </w:r>
    </w:p>
    <w:p w14:paraId="4DE6B344" w14:textId="77777777" w:rsidR="008B528C" w:rsidRDefault="008B528C" w:rsidP="00CB7848">
      <w:pPr>
        <w:ind w:left="720"/>
      </w:pPr>
      <w:r>
        <w:t>•</w:t>
      </w:r>
      <w:r>
        <w:tab/>
        <w:t>Bring your own device (BYOD) policies.</w:t>
      </w:r>
    </w:p>
    <w:p w14:paraId="6F882FDF" w14:textId="0AA50AA1" w:rsidR="008B528C" w:rsidRDefault="008B528C" w:rsidP="00CB7848">
      <w:pPr>
        <w:ind w:left="720"/>
      </w:pPr>
      <w:r>
        <w:t>•</w:t>
      </w:r>
      <w:r>
        <w:tab/>
        <w:t>Staff training about hacking, phishing and malware.</w:t>
      </w:r>
    </w:p>
    <w:p w14:paraId="78956866" w14:textId="011FF8CF" w:rsidR="008B528C" w:rsidRDefault="008B528C" w:rsidP="00CB7848">
      <w:pPr>
        <w:pStyle w:val="ListParagraph"/>
        <w:numPr>
          <w:ilvl w:val="0"/>
          <w:numId w:val="2"/>
        </w:numPr>
        <w:ind w:left="1407" w:hanging="687"/>
        <w:contextualSpacing w:val="0"/>
      </w:pPr>
      <w:r>
        <w:t>Secure file sharing.</w:t>
      </w:r>
    </w:p>
    <w:p w14:paraId="4298D3BF" w14:textId="5F125EE5" w:rsidR="008B528C" w:rsidRDefault="008B528C" w:rsidP="00CB7848">
      <w:pPr>
        <w:pStyle w:val="ListParagraph"/>
        <w:numPr>
          <w:ilvl w:val="0"/>
          <w:numId w:val="2"/>
        </w:numPr>
        <w:ind w:left="1406" w:hanging="686"/>
        <w:contextualSpacing w:val="0"/>
      </w:pPr>
      <w:r>
        <w:t>Unencrypted email.</w:t>
      </w:r>
    </w:p>
    <w:p w14:paraId="04C7CC74" w14:textId="01EE4DF9" w:rsidR="008B528C" w:rsidRDefault="008B528C" w:rsidP="00000AEF">
      <w:pPr>
        <w:pStyle w:val="Heading1"/>
      </w:pPr>
      <w:bookmarkStart w:id="19" w:name="_Toc7544347"/>
      <w:bookmarkStart w:id="20" w:name="_Toc7544855"/>
      <w:r>
        <w:lastRenderedPageBreak/>
        <w:t>4.</w:t>
      </w:r>
      <w:r>
        <w:tab/>
        <w:t>Processing</w:t>
      </w:r>
      <w:r w:rsidR="00000AEF">
        <w:t xml:space="preserve"> of</w:t>
      </w:r>
      <w:r>
        <w:t xml:space="preserve"> data</w:t>
      </w:r>
      <w:bookmarkEnd w:id="19"/>
      <w:bookmarkEnd w:id="20"/>
    </w:p>
    <w:p w14:paraId="7FFB3FA0" w14:textId="2CD6AF53" w:rsidR="008B528C" w:rsidRDefault="008B528C" w:rsidP="00000AEF">
      <w:pPr>
        <w:ind w:left="720"/>
      </w:pPr>
      <w:r>
        <w:t xml:space="preserve">Personal data may only be obtained for established, unambiguous and lawful purposes and may not be processed in a manner that is incompatible with these </w:t>
      </w:r>
      <w:r w:rsidR="00000AEF">
        <w:t>purposes.</w:t>
      </w:r>
      <w:r>
        <w:t xml:space="preserve"> </w:t>
      </w:r>
      <w:r w:rsidR="00000AEF">
        <w:t>It must</w:t>
      </w:r>
      <w:r>
        <w:t xml:space="preserve"> therefore only be processed to the extent </w:t>
      </w:r>
      <w:r w:rsidR="00000AEF">
        <w:t>that it is</w:t>
      </w:r>
      <w:r>
        <w:t xml:space="preserve"> essential for </w:t>
      </w:r>
      <w:r w:rsidR="00000AEF">
        <w:t>legitimate business activities</w:t>
      </w:r>
      <w:r>
        <w:t xml:space="preserve">. </w:t>
      </w:r>
    </w:p>
    <w:p w14:paraId="60CAF6E0" w14:textId="77777777" w:rsidR="00A328A5" w:rsidRDefault="00A328A5" w:rsidP="00A328A5">
      <w:pPr>
        <w:ind w:left="720"/>
      </w:pPr>
      <w:r>
        <w:t xml:space="preserve">As part of our operations, we need to obtain and process information. This information includes any offline or online data that makes a person identifiable such as names, addresses, usernames and passwords, digital footprints, photographs, social security numbers, financial data etc. </w:t>
      </w:r>
    </w:p>
    <w:p w14:paraId="656DC803" w14:textId="7E471380" w:rsidR="00A328A5" w:rsidRDefault="00A328A5" w:rsidP="00A328A5">
      <w:pPr>
        <w:ind w:left="720"/>
      </w:pPr>
      <w:r>
        <w:t>Our company collects this information in a transparent way and only with the full cooperation and knowledge of interested parties. Once this information is available to us, the following rules apply</w:t>
      </w:r>
      <w:r w:rsidR="000F6C99">
        <w:t>:</w:t>
      </w:r>
      <w:r>
        <w:t xml:space="preserve"> </w:t>
      </w:r>
    </w:p>
    <w:p w14:paraId="3F9F16B9" w14:textId="77777777" w:rsidR="00A328A5" w:rsidRDefault="00A328A5" w:rsidP="00A328A5">
      <w:pPr>
        <w:ind w:left="720"/>
      </w:pPr>
      <w:r>
        <w:t>Our data will be:</w:t>
      </w:r>
    </w:p>
    <w:p w14:paraId="2499E9DF" w14:textId="41D1379B" w:rsidR="00A328A5" w:rsidRDefault="00A328A5" w:rsidP="000F6C99">
      <w:pPr>
        <w:pStyle w:val="ListParagraph"/>
        <w:numPr>
          <w:ilvl w:val="0"/>
          <w:numId w:val="9"/>
        </w:numPr>
        <w:spacing w:after="120"/>
        <w:contextualSpacing w:val="0"/>
      </w:pPr>
      <w:r>
        <w:t xml:space="preserve">Accurate and kept </w:t>
      </w:r>
      <w:r w:rsidR="000F6C99">
        <w:t>up to date</w:t>
      </w:r>
      <w:r>
        <w:t xml:space="preserve"> </w:t>
      </w:r>
    </w:p>
    <w:p w14:paraId="0AB826FD" w14:textId="77777777" w:rsidR="00A328A5" w:rsidRDefault="00A328A5" w:rsidP="000F6C99">
      <w:pPr>
        <w:pStyle w:val="ListParagraph"/>
        <w:numPr>
          <w:ilvl w:val="0"/>
          <w:numId w:val="9"/>
        </w:numPr>
        <w:spacing w:after="120"/>
        <w:contextualSpacing w:val="0"/>
      </w:pPr>
      <w:r>
        <w:t xml:space="preserve">Collected fairly and for lawful purposes only </w:t>
      </w:r>
    </w:p>
    <w:p w14:paraId="0BE0088A" w14:textId="77777777" w:rsidR="00A328A5" w:rsidRDefault="00A328A5" w:rsidP="000F6C99">
      <w:pPr>
        <w:pStyle w:val="ListParagraph"/>
        <w:numPr>
          <w:ilvl w:val="0"/>
          <w:numId w:val="9"/>
        </w:numPr>
        <w:spacing w:after="120"/>
        <w:contextualSpacing w:val="0"/>
      </w:pPr>
      <w:r>
        <w:t>Processed by the company within its legal and moral boundaries</w:t>
      </w:r>
    </w:p>
    <w:p w14:paraId="081BFDE6" w14:textId="1952785B" w:rsidR="00A328A5" w:rsidRDefault="00A328A5" w:rsidP="000F6C99">
      <w:pPr>
        <w:pStyle w:val="ListParagraph"/>
        <w:numPr>
          <w:ilvl w:val="0"/>
          <w:numId w:val="9"/>
        </w:numPr>
        <w:spacing w:after="120"/>
        <w:contextualSpacing w:val="0"/>
      </w:pPr>
      <w:r>
        <w:t>Protected against any unauthorized or illegal access by internal or external parties</w:t>
      </w:r>
    </w:p>
    <w:p w14:paraId="34E82172" w14:textId="77777777" w:rsidR="00A328A5" w:rsidRDefault="00A328A5" w:rsidP="000F6C99">
      <w:pPr>
        <w:spacing w:after="120"/>
        <w:ind w:left="720"/>
      </w:pPr>
      <w:r>
        <w:t>Our data will not be:</w:t>
      </w:r>
    </w:p>
    <w:p w14:paraId="1075DFEC" w14:textId="77777777" w:rsidR="00A328A5" w:rsidRDefault="00A328A5" w:rsidP="000F6C99">
      <w:pPr>
        <w:pStyle w:val="ListParagraph"/>
        <w:numPr>
          <w:ilvl w:val="0"/>
          <w:numId w:val="9"/>
        </w:numPr>
        <w:spacing w:after="120"/>
        <w:contextualSpacing w:val="0"/>
      </w:pPr>
      <w:r>
        <w:t>Communicated informally Stored for more than a specified amount of time</w:t>
      </w:r>
    </w:p>
    <w:p w14:paraId="74062D58" w14:textId="77777777" w:rsidR="00A328A5" w:rsidRDefault="00A328A5" w:rsidP="000F6C99">
      <w:pPr>
        <w:pStyle w:val="ListParagraph"/>
        <w:numPr>
          <w:ilvl w:val="0"/>
          <w:numId w:val="9"/>
        </w:numPr>
        <w:spacing w:after="120"/>
        <w:contextualSpacing w:val="0"/>
      </w:pPr>
      <w:r>
        <w:t xml:space="preserve">Transferred to organizations, states or countries that do not have adequate data protection policies </w:t>
      </w:r>
    </w:p>
    <w:p w14:paraId="4857D16E" w14:textId="151C26B8" w:rsidR="00A328A5" w:rsidRDefault="00A328A5" w:rsidP="000F6C99">
      <w:pPr>
        <w:pStyle w:val="ListParagraph"/>
        <w:numPr>
          <w:ilvl w:val="0"/>
          <w:numId w:val="9"/>
        </w:numPr>
        <w:spacing w:after="120"/>
        <w:contextualSpacing w:val="0"/>
      </w:pPr>
      <w:r>
        <w:t>Distributed to any party other than the ones agreed upon by the data’s owner (exempting legitimate requests from law enforcement authorities)</w:t>
      </w:r>
    </w:p>
    <w:p w14:paraId="651CE242" w14:textId="77777777" w:rsidR="00A328A5" w:rsidRDefault="00A328A5" w:rsidP="000F6C99">
      <w:pPr>
        <w:pStyle w:val="ListParagraph"/>
        <w:numPr>
          <w:ilvl w:val="0"/>
          <w:numId w:val="9"/>
        </w:numPr>
        <w:spacing w:after="120"/>
        <w:contextualSpacing w:val="0"/>
      </w:pPr>
      <w:r>
        <w:t xml:space="preserve">In addition to ways of handling the data the company has direct obligations towards people to whom the data belongs. </w:t>
      </w:r>
    </w:p>
    <w:p w14:paraId="6C0A3995" w14:textId="21077299" w:rsidR="00A328A5" w:rsidRDefault="000F6C99" w:rsidP="000F6C99">
      <w:pPr>
        <w:spacing w:after="120"/>
        <w:ind w:left="720"/>
      </w:pPr>
      <w:r>
        <w:t>Specifically,</w:t>
      </w:r>
      <w:r w:rsidR="00A328A5">
        <w:t xml:space="preserve"> we must:</w:t>
      </w:r>
    </w:p>
    <w:p w14:paraId="0EA732BE" w14:textId="77777777" w:rsidR="00A328A5" w:rsidRDefault="00A328A5" w:rsidP="000F6C99">
      <w:pPr>
        <w:pStyle w:val="ListParagraph"/>
        <w:numPr>
          <w:ilvl w:val="0"/>
          <w:numId w:val="9"/>
        </w:numPr>
        <w:spacing w:after="120"/>
        <w:contextualSpacing w:val="0"/>
      </w:pPr>
      <w:r>
        <w:t xml:space="preserve">Let people know which of their data is collected </w:t>
      </w:r>
    </w:p>
    <w:p w14:paraId="4EB88C9E" w14:textId="77777777" w:rsidR="000F6C99" w:rsidRDefault="00A328A5" w:rsidP="000F6C99">
      <w:pPr>
        <w:pStyle w:val="ListParagraph"/>
        <w:numPr>
          <w:ilvl w:val="0"/>
          <w:numId w:val="9"/>
        </w:numPr>
        <w:spacing w:after="120"/>
        <w:contextualSpacing w:val="0"/>
      </w:pPr>
      <w:r>
        <w:t xml:space="preserve">Inform people about how we’ll process their data </w:t>
      </w:r>
    </w:p>
    <w:p w14:paraId="68A94A2C" w14:textId="77777777" w:rsidR="000F6C99" w:rsidRDefault="00A328A5" w:rsidP="000F6C99">
      <w:pPr>
        <w:pStyle w:val="ListParagraph"/>
        <w:numPr>
          <w:ilvl w:val="0"/>
          <w:numId w:val="9"/>
        </w:numPr>
        <w:spacing w:after="120"/>
        <w:contextualSpacing w:val="0"/>
      </w:pPr>
      <w:r>
        <w:t xml:space="preserve">Inform people about who has access to their information </w:t>
      </w:r>
    </w:p>
    <w:p w14:paraId="33B4CA22" w14:textId="77777777" w:rsidR="000F6C99" w:rsidRDefault="00A328A5" w:rsidP="000F6C99">
      <w:pPr>
        <w:pStyle w:val="ListParagraph"/>
        <w:numPr>
          <w:ilvl w:val="0"/>
          <w:numId w:val="9"/>
        </w:numPr>
        <w:spacing w:after="120"/>
        <w:contextualSpacing w:val="0"/>
      </w:pPr>
      <w:r>
        <w:t xml:space="preserve">Have provisions in cases of lost, corrupted or compromised data </w:t>
      </w:r>
    </w:p>
    <w:p w14:paraId="4310C9BC" w14:textId="418F5B77" w:rsidR="00A328A5" w:rsidRDefault="00A328A5" w:rsidP="000F6C99">
      <w:pPr>
        <w:pStyle w:val="ListParagraph"/>
        <w:numPr>
          <w:ilvl w:val="0"/>
          <w:numId w:val="9"/>
        </w:numPr>
        <w:spacing w:after="120"/>
        <w:contextualSpacing w:val="0"/>
      </w:pPr>
      <w:r>
        <w:t>Allow people to request that we modify, erase, reduce or correct data contained in our databases</w:t>
      </w:r>
    </w:p>
    <w:p w14:paraId="3E7B7CFD" w14:textId="77777777" w:rsidR="000F6C99" w:rsidRDefault="000F6C99">
      <w:pPr>
        <w:rPr>
          <w:rFonts w:asciiTheme="majorHAnsi" w:eastAsiaTheme="majorEastAsia" w:hAnsiTheme="majorHAnsi" w:cstheme="majorBidi"/>
          <w:color w:val="2F5496" w:themeColor="accent1" w:themeShade="BF"/>
          <w:sz w:val="32"/>
          <w:szCs w:val="32"/>
        </w:rPr>
      </w:pPr>
      <w:r>
        <w:br w:type="page"/>
      </w:r>
    </w:p>
    <w:p w14:paraId="2781C5C2" w14:textId="24ED4BA3" w:rsidR="000F6C99" w:rsidRDefault="008B528C" w:rsidP="00000AEF">
      <w:pPr>
        <w:pStyle w:val="Heading1"/>
      </w:pPr>
      <w:bookmarkStart w:id="21" w:name="_Toc7544348"/>
      <w:bookmarkStart w:id="22" w:name="_Toc7544856"/>
      <w:r>
        <w:lastRenderedPageBreak/>
        <w:t>5.</w:t>
      </w:r>
      <w:r w:rsidR="000F6C99">
        <w:tab/>
        <w:t>Exercising Data Protection</w:t>
      </w:r>
      <w:bookmarkEnd w:id="21"/>
      <w:bookmarkEnd w:id="22"/>
      <w:r>
        <w:tab/>
      </w:r>
    </w:p>
    <w:p w14:paraId="5FAF5675" w14:textId="5BAEC5B1" w:rsidR="000F6C99" w:rsidRDefault="000F6C99" w:rsidP="000F6C99">
      <w:pPr>
        <w:ind w:left="720"/>
      </w:pPr>
      <w:r>
        <w:t>To exercise data protection, we’re committed to:</w:t>
      </w:r>
    </w:p>
    <w:p w14:paraId="1CBE3AF0" w14:textId="77777777" w:rsidR="000F6C99" w:rsidRDefault="000F6C99" w:rsidP="000F6C99">
      <w:pPr>
        <w:pStyle w:val="ListParagraph"/>
        <w:numPr>
          <w:ilvl w:val="0"/>
          <w:numId w:val="10"/>
        </w:numPr>
      </w:pPr>
      <w:r>
        <w:t xml:space="preserve">Restrict and monitor access to sensitive data </w:t>
      </w:r>
    </w:p>
    <w:p w14:paraId="7D90F3AD" w14:textId="77777777" w:rsidR="000F6C99" w:rsidRDefault="000F6C99" w:rsidP="000F6C99">
      <w:pPr>
        <w:pStyle w:val="ListParagraph"/>
        <w:numPr>
          <w:ilvl w:val="0"/>
          <w:numId w:val="10"/>
        </w:numPr>
      </w:pPr>
      <w:r>
        <w:t xml:space="preserve">Develop transparent data collection procedures </w:t>
      </w:r>
    </w:p>
    <w:p w14:paraId="25DBD0F4" w14:textId="77777777" w:rsidR="000F6C99" w:rsidRDefault="000F6C99" w:rsidP="000F6C99">
      <w:pPr>
        <w:pStyle w:val="ListParagraph"/>
        <w:numPr>
          <w:ilvl w:val="0"/>
          <w:numId w:val="10"/>
        </w:numPr>
      </w:pPr>
      <w:r>
        <w:t xml:space="preserve">Train employees in online privacy and security measures </w:t>
      </w:r>
    </w:p>
    <w:p w14:paraId="0020DE76" w14:textId="77777777" w:rsidR="000F6C99" w:rsidRDefault="000F6C99" w:rsidP="000F6C99">
      <w:pPr>
        <w:pStyle w:val="ListParagraph"/>
        <w:numPr>
          <w:ilvl w:val="0"/>
          <w:numId w:val="10"/>
        </w:numPr>
      </w:pPr>
      <w:r>
        <w:t xml:space="preserve">Build secure networks to protect online data from cyberattacks </w:t>
      </w:r>
    </w:p>
    <w:p w14:paraId="753642BA" w14:textId="77777777" w:rsidR="000F6C99" w:rsidRDefault="000F6C99" w:rsidP="000F6C99">
      <w:pPr>
        <w:pStyle w:val="ListParagraph"/>
        <w:numPr>
          <w:ilvl w:val="0"/>
          <w:numId w:val="10"/>
        </w:numPr>
      </w:pPr>
      <w:r>
        <w:t xml:space="preserve">Establish clear procedures for reporting privacy breaches or data misuse </w:t>
      </w:r>
    </w:p>
    <w:p w14:paraId="7B4EBAA5" w14:textId="77777777" w:rsidR="000F6C99" w:rsidRDefault="000F6C99" w:rsidP="000F6C99">
      <w:pPr>
        <w:pStyle w:val="ListParagraph"/>
        <w:numPr>
          <w:ilvl w:val="0"/>
          <w:numId w:val="10"/>
        </w:numPr>
      </w:pPr>
      <w:r>
        <w:t>Include contract clauses or communicate statements on how we handle data</w:t>
      </w:r>
    </w:p>
    <w:p w14:paraId="6494B7DE" w14:textId="5F9BE937" w:rsidR="000F6C99" w:rsidRDefault="000F6C99" w:rsidP="000F6C99">
      <w:pPr>
        <w:pStyle w:val="ListParagraph"/>
        <w:numPr>
          <w:ilvl w:val="0"/>
          <w:numId w:val="10"/>
        </w:numPr>
      </w:pPr>
      <w:r>
        <w:t>Establish data protection practices (document shredding, secure locks, data encryption, frequent backups, access authorization etc.)</w:t>
      </w:r>
    </w:p>
    <w:p w14:paraId="53A0C48D" w14:textId="385EB908" w:rsidR="000F6C99" w:rsidRPr="000F6C99" w:rsidRDefault="000F6C99" w:rsidP="000F6C99">
      <w:pPr>
        <w:ind w:left="720"/>
      </w:pPr>
      <w:r>
        <w:t>Our data protection provisions will appear on our website.</w:t>
      </w:r>
    </w:p>
    <w:p w14:paraId="64C4D3E2" w14:textId="3DA46D6A" w:rsidR="008B528C" w:rsidRDefault="000F6C99" w:rsidP="00000AEF">
      <w:pPr>
        <w:pStyle w:val="Heading1"/>
      </w:pPr>
      <w:bookmarkStart w:id="23" w:name="_Toc7544349"/>
      <w:bookmarkStart w:id="24" w:name="_Toc7544857"/>
      <w:r>
        <w:t>6.</w:t>
      </w:r>
      <w:r>
        <w:tab/>
      </w:r>
      <w:r w:rsidR="008B528C">
        <w:t xml:space="preserve">Data </w:t>
      </w:r>
      <w:r w:rsidR="00A328A5">
        <w:t>confidentiality</w:t>
      </w:r>
      <w:bookmarkEnd w:id="23"/>
      <w:bookmarkEnd w:id="24"/>
    </w:p>
    <w:p w14:paraId="6E01818E" w14:textId="13E2943D" w:rsidR="008B528C" w:rsidRDefault="00000AEF" w:rsidP="00000AEF">
      <w:pPr>
        <w:ind w:left="720"/>
      </w:pPr>
      <w:r>
        <w:t>All data related to the company, its activities, personnel, customers and suppliers and any other sensitive data must be kept secret and not disclosed to any individual or organisation that does not have a legitimate reason to access the data.</w:t>
      </w:r>
    </w:p>
    <w:p w14:paraId="74721736" w14:textId="22434D6B" w:rsidR="008B528C" w:rsidRDefault="00000AEF" w:rsidP="007B3C97">
      <w:pPr>
        <w:ind w:left="720"/>
      </w:pPr>
      <w:r>
        <w:t xml:space="preserve">Company confidential data must not be allowed to leave the company without the express </w:t>
      </w:r>
      <w:r w:rsidR="00A328A5">
        <w:t xml:space="preserve">permission of the Management. </w:t>
      </w:r>
    </w:p>
    <w:p w14:paraId="0AFDC1F0" w14:textId="45321183" w:rsidR="00A328A5" w:rsidRDefault="00A328A5" w:rsidP="007B3C97">
      <w:pPr>
        <w:ind w:left="720"/>
      </w:pPr>
      <w:r>
        <w:t>There are areas that are covered in Data Confidentiality and are subject to this clause, that are not part of the Data Protection regulations, including:</w:t>
      </w:r>
    </w:p>
    <w:p w14:paraId="255E35FB" w14:textId="11F5EDD2" w:rsidR="00A328A5" w:rsidRDefault="00A328A5" w:rsidP="00A328A5">
      <w:pPr>
        <w:numPr>
          <w:ilvl w:val="0"/>
          <w:numId w:val="7"/>
        </w:numPr>
        <w:tabs>
          <w:tab w:val="clear" w:pos="645"/>
          <w:tab w:val="left" w:pos="1418"/>
          <w:tab w:val="num" w:pos="1560"/>
          <w:tab w:val="left" w:pos="5670"/>
          <w:tab w:val="decimal" w:pos="7938"/>
        </w:tabs>
        <w:overflowPunct w:val="0"/>
        <w:autoSpaceDE w:val="0"/>
        <w:autoSpaceDN w:val="0"/>
        <w:adjustRightInd w:val="0"/>
        <w:spacing w:after="120" w:line="240" w:lineRule="auto"/>
        <w:ind w:left="1418" w:hanging="567"/>
      </w:pPr>
      <w:r>
        <w:t>Information about the company (and its plans or finances, for example);</w:t>
      </w:r>
    </w:p>
    <w:p w14:paraId="2A499E53" w14:textId="22B156E6" w:rsidR="00A328A5" w:rsidRDefault="00A328A5" w:rsidP="00A328A5">
      <w:pPr>
        <w:numPr>
          <w:ilvl w:val="0"/>
          <w:numId w:val="7"/>
        </w:numPr>
        <w:tabs>
          <w:tab w:val="clear" w:pos="645"/>
          <w:tab w:val="left" w:pos="1418"/>
          <w:tab w:val="num" w:pos="1560"/>
          <w:tab w:val="left" w:pos="5670"/>
          <w:tab w:val="decimal" w:pos="7938"/>
        </w:tabs>
        <w:overflowPunct w:val="0"/>
        <w:autoSpaceDE w:val="0"/>
        <w:autoSpaceDN w:val="0"/>
        <w:adjustRightInd w:val="0"/>
        <w:spacing w:after="120" w:line="240" w:lineRule="auto"/>
        <w:ind w:left="1418" w:hanging="567"/>
      </w:pPr>
      <w:r>
        <w:t>Information about other organisations, since Data Protection only applies to information about individuals;</w:t>
      </w:r>
    </w:p>
    <w:p w14:paraId="215F99B9" w14:textId="085F8595" w:rsidR="00A328A5" w:rsidRDefault="00A328A5" w:rsidP="00A328A5">
      <w:pPr>
        <w:numPr>
          <w:ilvl w:val="0"/>
          <w:numId w:val="7"/>
        </w:numPr>
        <w:tabs>
          <w:tab w:val="clear" w:pos="645"/>
          <w:tab w:val="left" w:pos="1418"/>
          <w:tab w:val="num" w:pos="1560"/>
          <w:tab w:val="left" w:pos="5670"/>
          <w:tab w:val="decimal" w:pos="7938"/>
        </w:tabs>
        <w:overflowPunct w:val="0"/>
        <w:autoSpaceDE w:val="0"/>
        <w:autoSpaceDN w:val="0"/>
        <w:adjustRightInd w:val="0"/>
        <w:spacing w:after="120" w:line="240" w:lineRule="auto"/>
        <w:ind w:left="1418" w:hanging="567"/>
      </w:pPr>
      <w:r>
        <w:t>Information which is not recorded, either on paper or electronically;</w:t>
      </w:r>
    </w:p>
    <w:p w14:paraId="65821D8B" w14:textId="5394584E" w:rsidR="00A328A5" w:rsidRDefault="00A328A5" w:rsidP="00A328A5">
      <w:pPr>
        <w:numPr>
          <w:ilvl w:val="0"/>
          <w:numId w:val="7"/>
        </w:numPr>
        <w:tabs>
          <w:tab w:val="clear" w:pos="645"/>
          <w:tab w:val="left" w:pos="1418"/>
          <w:tab w:val="num" w:pos="1560"/>
          <w:tab w:val="left" w:pos="5670"/>
          <w:tab w:val="decimal" w:pos="7938"/>
        </w:tabs>
        <w:overflowPunct w:val="0"/>
        <w:autoSpaceDE w:val="0"/>
        <w:autoSpaceDN w:val="0"/>
        <w:adjustRightInd w:val="0"/>
        <w:spacing w:after="120" w:line="240" w:lineRule="auto"/>
        <w:ind w:left="1418" w:hanging="567"/>
      </w:pPr>
      <w:r>
        <w:t>Information held on paper, but in a sufficiently unstructured way that it does not meet the definition of a “relevant filing system” in the Data Protection Act.</w:t>
      </w:r>
    </w:p>
    <w:p w14:paraId="57F15B24" w14:textId="45753EE9" w:rsidR="008B528C" w:rsidRDefault="007B3C97" w:rsidP="007B3C97">
      <w:pPr>
        <w:pStyle w:val="Heading1"/>
      </w:pPr>
      <w:bookmarkStart w:id="25" w:name="_Toc7544350"/>
      <w:bookmarkStart w:id="26" w:name="_Toc7544858"/>
      <w:r>
        <w:t>6</w:t>
      </w:r>
      <w:r w:rsidR="008B528C">
        <w:t>.</w:t>
      </w:r>
      <w:r w:rsidR="008B528C">
        <w:tab/>
      </w:r>
      <w:r>
        <w:t>Data protection</w:t>
      </w:r>
      <w:r w:rsidR="008B528C">
        <w:t xml:space="preserve"> impact assessment</w:t>
      </w:r>
      <w:bookmarkEnd w:id="25"/>
      <w:bookmarkEnd w:id="26"/>
    </w:p>
    <w:p w14:paraId="61425CE7" w14:textId="1F62099E" w:rsidR="008B528C" w:rsidRDefault="007B3C97" w:rsidP="007B3C97">
      <w:pPr>
        <w:ind w:left="720"/>
      </w:pPr>
      <w:r>
        <w:t>Prior to the implementation of new technology or procedures, a privacy impact assessment must be conducted to ensure that data security is not compromised. The Data Protection Officer must be informed before such changes are made is responsible for ensuring that the Impact Assessment is conducted and logged and that mitigating actions are conducted.</w:t>
      </w:r>
    </w:p>
    <w:p w14:paraId="7285D04C" w14:textId="0ED5183B" w:rsidR="008B528C" w:rsidRDefault="007B3C97" w:rsidP="007B3C97">
      <w:pPr>
        <w:pStyle w:val="Heading1"/>
      </w:pPr>
      <w:bookmarkStart w:id="27" w:name="_Toc7544351"/>
      <w:bookmarkStart w:id="28" w:name="_Toc7544859"/>
      <w:r>
        <w:t>7.</w:t>
      </w:r>
      <w:r w:rsidR="008B528C">
        <w:tab/>
        <w:t>Data Breach</w:t>
      </w:r>
      <w:bookmarkEnd w:id="27"/>
      <w:bookmarkEnd w:id="28"/>
    </w:p>
    <w:p w14:paraId="1294D9D1" w14:textId="74DA4850" w:rsidR="008B528C" w:rsidRDefault="008B528C" w:rsidP="007B3C97">
      <w:pPr>
        <w:ind w:left="720"/>
      </w:pPr>
      <w:r>
        <w:t xml:space="preserve">In the event of a breach of </w:t>
      </w:r>
      <w:r w:rsidR="007B3C97">
        <w:t>data</w:t>
      </w:r>
      <w:r>
        <w:t xml:space="preserve"> protection</w:t>
      </w:r>
      <w:r w:rsidR="007B3C97">
        <w:t xml:space="preserve"> from any cause including human error, malicious attack, system failure, the Information Commissioner’s Office (ICO) </w:t>
      </w:r>
      <w:r w:rsidR="004A0919">
        <w:t xml:space="preserve">– the supervisory authority - </w:t>
      </w:r>
      <w:r w:rsidR="007B3C97">
        <w:t xml:space="preserve">must be notified within 72 hours of the breach. Any member of staff </w:t>
      </w:r>
      <w:r w:rsidR="004A0919">
        <w:t>identifying a breach should notify their line manager and the Data Protection Officer immediately so that an assessment can be conducted, and appropriate acti</w:t>
      </w:r>
      <w:r w:rsidR="000F6C99">
        <w:t>o</w:t>
      </w:r>
      <w:r w:rsidR="004A0919">
        <w:t>n taken.</w:t>
      </w:r>
    </w:p>
    <w:p w14:paraId="35EF55DD" w14:textId="710FBE7A" w:rsidR="000F6C99" w:rsidRDefault="000F6C99" w:rsidP="000F6C99">
      <w:pPr>
        <w:pStyle w:val="Heading1"/>
      </w:pPr>
      <w:bookmarkStart w:id="29" w:name="_Toc7544352"/>
      <w:bookmarkStart w:id="30" w:name="_Toc7544860"/>
      <w:r>
        <w:t>8.</w:t>
      </w:r>
      <w:r>
        <w:tab/>
        <w:t>Disciplinary Consequences</w:t>
      </w:r>
      <w:bookmarkEnd w:id="29"/>
      <w:bookmarkEnd w:id="30"/>
    </w:p>
    <w:p w14:paraId="41C4D58A" w14:textId="77777777" w:rsidR="000F6C99" w:rsidRPr="000F6C99" w:rsidRDefault="000F6C99" w:rsidP="000F6C99">
      <w:pPr>
        <w:ind w:left="720"/>
      </w:pPr>
      <w:r w:rsidRPr="000F6C99">
        <w:t>All principles described in this policy must be strictly followed. A breach of data protection guidelines will invoke disciplinary and possibly legal action.</w:t>
      </w:r>
    </w:p>
    <w:p w14:paraId="75151C32" w14:textId="4AEB5912" w:rsidR="000F6C99" w:rsidRDefault="000F6C99" w:rsidP="000F6C99">
      <w:pPr>
        <w:ind w:left="720"/>
      </w:pPr>
    </w:p>
    <w:sectPr w:rsidR="000F6C99" w:rsidSect="001A7B4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9ECEE" w14:textId="77777777" w:rsidR="001423BE" w:rsidRDefault="001423BE" w:rsidP="001A7B45">
      <w:pPr>
        <w:spacing w:after="0" w:line="240" w:lineRule="auto"/>
      </w:pPr>
      <w:r>
        <w:separator/>
      </w:r>
    </w:p>
  </w:endnote>
  <w:endnote w:type="continuationSeparator" w:id="0">
    <w:p w14:paraId="4C4BB9A6" w14:textId="77777777" w:rsidR="001423BE" w:rsidRDefault="001423BE" w:rsidP="001A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dale Sans UI">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FD8B3" w14:textId="77777777" w:rsidR="005D7D0E" w:rsidRDefault="005D7D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AC6B" w14:textId="1A9A7401" w:rsidR="001A7B45" w:rsidRDefault="008C6E02">
    <w:pPr>
      <w:pStyle w:val="Footer"/>
    </w:pPr>
    <w:r>
      <w:t>PRIVATE</w:t>
    </w:r>
    <w:r>
      <w:tab/>
      <w:t>M</w:t>
    </w:r>
    <w:r w:rsidR="00435862">
      <w:t>S</w:t>
    </w:r>
    <w:r>
      <w:t>S-DP-DOC-1</w:t>
    </w:r>
    <w:r w:rsidR="00435862">
      <w:t>1</w:t>
    </w:r>
    <w:r>
      <w:t>.1 v1</w:t>
    </w:r>
    <w:r w:rsidR="001A7B45">
      <w:tab/>
      <w:t xml:space="preserve">Page | </w:t>
    </w:r>
    <w:r w:rsidR="001A7B45">
      <w:fldChar w:fldCharType="begin"/>
    </w:r>
    <w:r w:rsidR="001A7B45">
      <w:instrText xml:space="preserve"> PAGE   \* MERGEFORMAT </w:instrText>
    </w:r>
    <w:r w:rsidR="001A7B45">
      <w:fldChar w:fldCharType="separate"/>
    </w:r>
    <w:r w:rsidR="001A7B45">
      <w:rPr>
        <w:noProof/>
      </w:rPr>
      <w:t>1</w:t>
    </w:r>
    <w:r w:rsidR="001A7B4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08A09" w14:textId="77777777" w:rsidR="005D7D0E" w:rsidRDefault="005D7D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7671FA" w14:textId="77777777" w:rsidR="001423BE" w:rsidRDefault="001423BE" w:rsidP="001A7B45">
      <w:pPr>
        <w:spacing w:after="0" w:line="240" w:lineRule="auto"/>
      </w:pPr>
      <w:r>
        <w:separator/>
      </w:r>
    </w:p>
  </w:footnote>
  <w:footnote w:type="continuationSeparator" w:id="0">
    <w:p w14:paraId="721A52B9" w14:textId="77777777" w:rsidR="001423BE" w:rsidRDefault="001423BE" w:rsidP="001A7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53CAA" w14:textId="77777777" w:rsidR="005D7D0E" w:rsidRDefault="005D7D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4A3D3" w14:textId="2F6E2ADF" w:rsidR="001A7B45" w:rsidRDefault="001A7B45">
    <w:pPr>
      <w:pStyle w:val="Header"/>
    </w:pPr>
    <w:r>
      <w:t>DATA PROTECTION POLICY V1.0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17C3A" w14:textId="77777777" w:rsidR="005D7D0E" w:rsidRDefault="005D7D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D239C5"/>
    <w:multiLevelType w:val="hybridMultilevel"/>
    <w:tmpl w:val="DDC6AB7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90A3A68"/>
    <w:multiLevelType w:val="hybridMultilevel"/>
    <w:tmpl w:val="3F7625E2"/>
    <w:lvl w:ilvl="0" w:tplc="550C1CC6">
      <w:numFmt w:val="bullet"/>
      <w:lvlText w:val=""/>
      <w:lvlJc w:val="left"/>
      <w:pPr>
        <w:tabs>
          <w:tab w:val="num" w:pos="645"/>
        </w:tabs>
        <w:ind w:left="645" w:hanging="360"/>
      </w:pPr>
      <w:rPr>
        <w:rFonts w:ascii="Symbol" w:eastAsia="Times New Roman" w:hAnsi="Symbol" w:hint="default"/>
      </w:rPr>
    </w:lvl>
    <w:lvl w:ilvl="1" w:tplc="04090003">
      <w:start w:val="1"/>
      <w:numFmt w:val="bullet"/>
      <w:lvlText w:val="o"/>
      <w:lvlJc w:val="left"/>
      <w:pPr>
        <w:tabs>
          <w:tab w:val="num" w:pos="1365"/>
        </w:tabs>
        <w:ind w:left="1365" w:hanging="360"/>
      </w:pPr>
      <w:rPr>
        <w:rFonts w:ascii="Courier New" w:hAnsi="Courier New" w:cs="Courier New" w:hint="default"/>
      </w:rPr>
    </w:lvl>
    <w:lvl w:ilvl="2" w:tplc="04090005">
      <w:start w:val="1"/>
      <w:numFmt w:val="bullet"/>
      <w:lvlText w:val=""/>
      <w:lvlJc w:val="left"/>
      <w:pPr>
        <w:tabs>
          <w:tab w:val="num" w:pos="2085"/>
        </w:tabs>
        <w:ind w:left="2085" w:hanging="360"/>
      </w:pPr>
      <w:rPr>
        <w:rFonts w:ascii="Wingdings" w:hAnsi="Wingdings" w:cs="Wingdings" w:hint="default"/>
      </w:rPr>
    </w:lvl>
    <w:lvl w:ilvl="3" w:tplc="04090001">
      <w:start w:val="1"/>
      <w:numFmt w:val="bullet"/>
      <w:lvlText w:val=""/>
      <w:lvlJc w:val="left"/>
      <w:pPr>
        <w:tabs>
          <w:tab w:val="num" w:pos="2805"/>
        </w:tabs>
        <w:ind w:left="2805" w:hanging="360"/>
      </w:pPr>
      <w:rPr>
        <w:rFonts w:ascii="Symbol" w:hAnsi="Symbol" w:cs="Symbol" w:hint="default"/>
      </w:rPr>
    </w:lvl>
    <w:lvl w:ilvl="4" w:tplc="04090003">
      <w:start w:val="1"/>
      <w:numFmt w:val="bullet"/>
      <w:lvlText w:val="o"/>
      <w:lvlJc w:val="left"/>
      <w:pPr>
        <w:tabs>
          <w:tab w:val="num" w:pos="3525"/>
        </w:tabs>
        <w:ind w:left="3525" w:hanging="360"/>
      </w:pPr>
      <w:rPr>
        <w:rFonts w:ascii="Courier New" w:hAnsi="Courier New" w:cs="Courier New" w:hint="default"/>
      </w:rPr>
    </w:lvl>
    <w:lvl w:ilvl="5" w:tplc="04090005">
      <w:start w:val="1"/>
      <w:numFmt w:val="bullet"/>
      <w:lvlText w:val=""/>
      <w:lvlJc w:val="left"/>
      <w:pPr>
        <w:tabs>
          <w:tab w:val="num" w:pos="4245"/>
        </w:tabs>
        <w:ind w:left="4245" w:hanging="360"/>
      </w:pPr>
      <w:rPr>
        <w:rFonts w:ascii="Wingdings" w:hAnsi="Wingdings" w:cs="Wingdings" w:hint="default"/>
      </w:rPr>
    </w:lvl>
    <w:lvl w:ilvl="6" w:tplc="04090001">
      <w:start w:val="1"/>
      <w:numFmt w:val="bullet"/>
      <w:lvlText w:val=""/>
      <w:lvlJc w:val="left"/>
      <w:pPr>
        <w:tabs>
          <w:tab w:val="num" w:pos="4965"/>
        </w:tabs>
        <w:ind w:left="4965" w:hanging="360"/>
      </w:pPr>
      <w:rPr>
        <w:rFonts w:ascii="Symbol" w:hAnsi="Symbol" w:cs="Symbol" w:hint="default"/>
      </w:rPr>
    </w:lvl>
    <w:lvl w:ilvl="7" w:tplc="04090003">
      <w:start w:val="1"/>
      <w:numFmt w:val="bullet"/>
      <w:lvlText w:val="o"/>
      <w:lvlJc w:val="left"/>
      <w:pPr>
        <w:tabs>
          <w:tab w:val="num" w:pos="5685"/>
        </w:tabs>
        <w:ind w:left="5685" w:hanging="360"/>
      </w:pPr>
      <w:rPr>
        <w:rFonts w:ascii="Courier New" w:hAnsi="Courier New" w:cs="Courier New" w:hint="default"/>
      </w:rPr>
    </w:lvl>
    <w:lvl w:ilvl="8" w:tplc="04090005">
      <w:start w:val="1"/>
      <w:numFmt w:val="bullet"/>
      <w:lvlText w:val=""/>
      <w:lvlJc w:val="left"/>
      <w:pPr>
        <w:tabs>
          <w:tab w:val="num" w:pos="6405"/>
        </w:tabs>
        <w:ind w:left="6405" w:hanging="360"/>
      </w:pPr>
      <w:rPr>
        <w:rFonts w:ascii="Wingdings" w:hAnsi="Wingdings" w:cs="Wingdings" w:hint="default"/>
      </w:rPr>
    </w:lvl>
  </w:abstractNum>
  <w:abstractNum w:abstractNumId="2" w15:restartNumberingAfterBreak="0">
    <w:nsid w:val="227641F2"/>
    <w:multiLevelType w:val="hybridMultilevel"/>
    <w:tmpl w:val="4B9299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F02204A"/>
    <w:multiLevelType w:val="hybridMultilevel"/>
    <w:tmpl w:val="D04A3D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B4D427D"/>
    <w:multiLevelType w:val="hybridMultilevel"/>
    <w:tmpl w:val="F46094E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490B5E48"/>
    <w:multiLevelType w:val="hybridMultilevel"/>
    <w:tmpl w:val="719019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E141B3D"/>
    <w:multiLevelType w:val="hybridMultilevel"/>
    <w:tmpl w:val="2F82E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B9F210C"/>
    <w:multiLevelType w:val="hybridMultilevel"/>
    <w:tmpl w:val="FBCC72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947C93"/>
    <w:multiLevelType w:val="hybridMultilevel"/>
    <w:tmpl w:val="BFCEED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7"/>
  </w:num>
  <w:num w:numId="2">
    <w:abstractNumId w:val="0"/>
  </w:num>
  <w:num w:numId="3">
    <w:abstractNumId w:val="4"/>
  </w:num>
  <w:num w:numId="4">
    <w:abstractNumId w:val="5"/>
  </w:num>
  <w:num w:numId="5">
    <w:abstractNumId w:val="8"/>
  </w:num>
  <w:num w:numId="6">
    <w:abstractNumId w:val="3"/>
  </w:num>
  <w:num w:numId="7">
    <w:abstractNumId w:val="1"/>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8C"/>
    <w:rsid w:val="00000AEF"/>
    <w:rsid w:val="000065D6"/>
    <w:rsid w:val="00061F5F"/>
    <w:rsid w:val="000C1EBC"/>
    <w:rsid w:val="000F6C99"/>
    <w:rsid w:val="001423BE"/>
    <w:rsid w:val="001A7B45"/>
    <w:rsid w:val="001B320E"/>
    <w:rsid w:val="001F7C04"/>
    <w:rsid w:val="00230350"/>
    <w:rsid w:val="002B3C42"/>
    <w:rsid w:val="003308F3"/>
    <w:rsid w:val="00355AE5"/>
    <w:rsid w:val="00435862"/>
    <w:rsid w:val="004A0919"/>
    <w:rsid w:val="005C7536"/>
    <w:rsid w:val="005D7D0E"/>
    <w:rsid w:val="006E4BB6"/>
    <w:rsid w:val="00726CD4"/>
    <w:rsid w:val="007B0EFF"/>
    <w:rsid w:val="007B3C97"/>
    <w:rsid w:val="0082199A"/>
    <w:rsid w:val="008A0FC0"/>
    <w:rsid w:val="008B528C"/>
    <w:rsid w:val="008C6E02"/>
    <w:rsid w:val="008F689C"/>
    <w:rsid w:val="00953426"/>
    <w:rsid w:val="0096494F"/>
    <w:rsid w:val="00983A33"/>
    <w:rsid w:val="00A328A5"/>
    <w:rsid w:val="00A45D69"/>
    <w:rsid w:val="00A9308C"/>
    <w:rsid w:val="00AD1AF0"/>
    <w:rsid w:val="00B33937"/>
    <w:rsid w:val="00C24563"/>
    <w:rsid w:val="00CB7848"/>
    <w:rsid w:val="00D01F17"/>
    <w:rsid w:val="00D24B80"/>
    <w:rsid w:val="00E25CBE"/>
    <w:rsid w:val="00E50EE1"/>
    <w:rsid w:val="00E620DF"/>
    <w:rsid w:val="00E72A29"/>
    <w:rsid w:val="00F11C3C"/>
    <w:rsid w:val="00F124B0"/>
    <w:rsid w:val="00F20658"/>
    <w:rsid w:val="00F52C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7E22BE2"/>
  <w15:chartTrackingRefBased/>
  <w15:docId w15:val="{6C901995-72ED-4B02-BAE7-8904FB1DB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2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B52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8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B528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8B528C"/>
    <w:pPr>
      <w:ind w:left="720"/>
      <w:contextualSpacing/>
    </w:pPr>
  </w:style>
  <w:style w:type="paragraph" w:styleId="TOCHeading">
    <w:name w:val="TOC Heading"/>
    <w:basedOn w:val="Heading1"/>
    <w:next w:val="Normal"/>
    <w:uiPriority w:val="39"/>
    <w:unhideWhenUsed/>
    <w:qFormat/>
    <w:rsid w:val="000F6C99"/>
    <w:pPr>
      <w:outlineLvl w:val="9"/>
    </w:pPr>
    <w:rPr>
      <w:lang w:val="en-US"/>
    </w:rPr>
  </w:style>
  <w:style w:type="paragraph" w:styleId="TOC1">
    <w:name w:val="toc 1"/>
    <w:basedOn w:val="Normal"/>
    <w:next w:val="Normal"/>
    <w:autoRedefine/>
    <w:uiPriority w:val="39"/>
    <w:unhideWhenUsed/>
    <w:rsid w:val="000F6C99"/>
    <w:pPr>
      <w:spacing w:after="100"/>
    </w:pPr>
  </w:style>
  <w:style w:type="paragraph" w:styleId="TOC2">
    <w:name w:val="toc 2"/>
    <w:basedOn w:val="Normal"/>
    <w:next w:val="Normal"/>
    <w:autoRedefine/>
    <w:uiPriority w:val="39"/>
    <w:unhideWhenUsed/>
    <w:rsid w:val="000F6C99"/>
    <w:pPr>
      <w:spacing w:after="100"/>
      <w:ind w:left="220"/>
    </w:pPr>
  </w:style>
  <w:style w:type="character" w:styleId="Hyperlink">
    <w:name w:val="Hyperlink"/>
    <w:basedOn w:val="DefaultParagraphFont"/>
    <w:uiPriority w:val="99"/>
    <w:unhideWhenUsed/>
    <w:rsid w:val="000F6C99"/>
    <w:rPr>
      <w:color w:val="0563C1" w:themeColor="hyperlink"/>
      <w:u w:val="single"/>
    </w:rPr>
  </w:style>
  <w:style w:type="paragraph" w:customStyle="1" w:styleId="TabellenInhalt">
    <w:name w:val="Tabellen Inhalt"/>
    <w:basedOn w:val="Normal"/>
    <w:rsid w:val="001A7B45"/>
    <w:pPr>
      <w:suppressLineNumbers/>
      <w:spacing w:before="57" w:after="57" w:line="240" w:lineRule="auto"/>
      <w:jc w:val="both"/>
    </w:pPr>
    <w:rPr>
      <w:rFonts w:ascii="Calibri" w:eastAsia="Andale Sans UI" w:hAnsi="Calibri" w:cs="Times New Roman"/>
      <w:kern w:val="1"/>
      <w:szCs w:val="24"/>
      <w:lang w:val="de-DE" w:eastAsia="de-AT"/>
    </w:rPr>
  </w:style>
  <w:style w:type="paragraph" w:styleId="Header">
    <w:name w:val="header"/>
    <w:basedOn w:val="Normal"/>
    <w:link w:val="HeaderChar"/>
    <w:uiPriority w:val="99"/>
    <w:unhideWhenUsed/>
    <w:rsid w:val="001A7B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7B45"/>
  </w:style>
  <w:style w:type="paragraph" w:styleId="Footer">
    <w:name w:val="footer"/>
    <w:basedOn w:val="Normal"/>
    <w:link w:val="FooterChar"/>
    <w:uiPriority w:val="99"/>
    <w:unhideWhenUsed/>
    <w:rsid w:val="001A7B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7B45"/>
  </w:style>
  <w:style w:type="paragraph" w:styleId="BalloonText">
    <w:name w:val="Balloon Text"/>
    <w:basedOn w:val="Normal"/>
    <w:link w:val="BalloonTextChar"/>
    <w:uiPriority w:val="99"/>
    <w:semiHidden/>
    <w:unhideWhenUsed/>
    <w:rsid w:val="00F11C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C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0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1602</Words>
  <Characters>9300</Characters>
  <Application>Microsoft Office Word</Application>
  <DocSecurity>0</DocSecurity>
  <Lines>225</Lines>
  <Paragraphs>156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Morris</dc:creator>
  <cp:keywords/>
  <dc:description/>
  <cp:lastModifiedBy>Steve Weaver</cp:lastModifiedBy>
  <cp:revision>24</cp:revision>
  <cp:lastPrinted>2019-06-19T10:50:00Z</cp:lastPrinted>
  <dcterms:created xsi:type="dcterms:W3CDTF">2019-06-19T10:50:00Z</dcterms:created>
  <dcterms:modified xsi:type="dcterms:W3CDTF">2020-11-14T10:36:00Z</dcterms:modified>
  <cp:category/>
</cp:coreProperties>
</file>